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B36E" w14:textId="0EAA5A4D" w:rsidR="6B8173A7" w:rsidRDefault="6B8173A7" w:rsidP="5680A7C7">
      <w:pPr>
        <w:pStyle w:val="Heading1"/>
        <w:spacing w:before="281" w:after="281" w:line="300" w:lineRule="auto"/>
        <w:rPr>
          <w:rFonts w:ascii="Calibri" w:eastAsia="Calibri" w:hAnsi="Calibri" w:cs="Calibri"/>
          <w:b/>
          <w:bCs/>
          <w:sz w:val="42"/>
          <w:szCs w:val="42"/>
        </w:rPr>
      </w:pPr>
      <w:r w:rsidRPr="5680A7C7">
        <w:rPr>
          <w:rFonts w:ascii="Calibri" w:eastAsia="Calibri" w:hAnsi="Calibri" w:cs="Calibri"/>
          <w:b/>
          <w:bCs/>
          <w:sz w:val="42"/>
          <w:szCs w:val="42"/>
        </w:rPr>
        <w:t xml:space="preserve">WSU Pool &amp; Match Guidelines </w:t>
      </w:r>
    </w:p>
    <w:p w14:paraId="4F0DA0CF" w14:textId="1C61C22C" w:rsidR="6B8173A7" w:rsidRDefault="6B8173A7" w:rsidP="5680A7C7">
      <w:pPr>
        <w:spacing w:before="210" w:after="210" w:line="300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5680A7C7">
        <w:rPr>
          <w:rFonts w:ascii="Calibri" w:eastAsia="Calibri" w:hAnsi="Calibri" w:cs="Calibri"/>
          <w:b/>
          <w:bCs/>
          <w:sz w:val="21"/>
          <w:szCs w:val="21"/>
        </w:rPr>
        <w:t>Student Financial Services</w:t>
      </w:r>
    </w:p>
    <w:p w14:paraId="61FFACBB" w14:textId="1C27D107" w:rsidR="0B0BC31E" w:rsidRDefault="6B8173A7" w:rsidP="32431C93">
      <w:pPr>
        <w:spacing w:before="210" w:after="210" w:line="300" w:lineRule="auto"/>
        <w:rPr>
          <w:rFonts w:ascii="Calibri" w:eastAsia="Calibri" w:hAnsi="Calibri" w:cs="Calibri"/>
          <w:sz w:val="21"/>
          <w:szCs w:val="21"/>
        </w:rPr>
      </w:pPr>
      <w:r w:rsidRPr="32431C93">
        <w:rPr>
          <w:rFonts w:ascii="Calibri" w:eastAsia="Calibri" w:hAnsi="Calibri" w:cs="Calibri"/>
          <w:sz w:val="21"/>
          <w:szCs w:val="21"/>
        </w:rPr>
        <w:t xml:space="preserve">These guidelines summarize how Washington State University </w:t>
      </w:r>
      <w:r w:rsidR="0019616E" w:rsidRPr="32431C93">
        <w:rPr>
          <w:rFonts w:ascii="Calibri" w:eastAsia="Calibri" w:hAnsi="Calibri" w:cs="Calibri"/>
          <w:sz w:val="21"/>
          <w:szCs w:val="21"/>
        </w:rPr>
        <w:t xml:space="preserve">may </w:t>
      </w:r>
      <w:r w:rsidRPr="32431C93">
        <w:rPr>
          <w:rFonts w:ascii="Calibri" w:eastAsia="Calibri" w:hAnsi="Calibri" w:cs="Calibri"/>
          <w:sz w:val="21"/>
          <w:szCs w:val="21"/>
        </w:rPr>
        <w:t xml:space="preserve">use a “pooling” strategy to help balance donor preferences with </w:t>
      </w:r>
      <w:r w:rsidR="00495A5C" w:rsidRPr="32431C93">
        <w:rPr>
          <w:rFonts w:ascii="Calibri" w:eastAsia="Calibri" w:hAnsi="Calibri" w:cs="Calibri"/>
          <w:sz w:val="21"/>
          <w:szCs w:val="21"/>
        </w:rPr>
        <w:t xml:space="preserve">Title VI of the Civil Rights Act, Title IX of the Education Amendments, and other </w:t>
      </w:r>
      <w:r w:rsidR="0023228B" w:rsidRPr="32431C93">
        <w:rPr>
          <w:rFonts w:ascii="Calibri" w:eastAsia="Calibri" w:hAnsi="Calibri" w:cs="Calibri"/>
          <w:sz w:val="21"/>
          <w:szCs w:val="21"/>
        </w:rPr>
        <w:t xml:space="preserve">state and </w:t>
      </w:r>
      <w:r w:rsidRPr="32431C93">
        <w:rPr>
          <w:rFonts w:ascii="Calibri" w:eastAsia="Calibri" w:hAnsi="Calibri" w:cs="Calibri"/>
          <w:sz w:val="21"/>
          <w:szCs w:val="21"/>
        </w:rPr>
        <w:t>federal nondiscrimination requirements</w:t>
      </w:r>
      <w:r w:rsidR="00495A5C" w:rsidRPr="32431C93">
        <w:rPr>
          <w:rFonts w:ascii="Calibri" w:eastAsia="Calibri" w:hAnsi="Calibri" w:cs="Calibri"/>
          <w:sz w:val="21"/>
          <w:szCs w:val="21"/>
        </w:rPr>
        <w:t xml:space="preserve">, which prohibit discrimination </w:t>
      </w:r>
      <w:proofErr w:type="gramStart"/>
      <w:r w:rsidR="00495A5C" w:rsidRPr="32431C93">
        <w:rPr>
          <w:rFonts w:ascii="Calibri" w:eastAsia="Calibri" w:hAnsi="Calibri" w:cs="Calibri"/>
          <w:sz w:val="21"/>
          <w:szCs w:val="21"/>
        </w:rPr>
        <w:t>on the basis of</w:t>
      </w:r>
      <w:proofErr w:type="gramEnd"/>
      <w:r w:rsidR="00495A5C" w:rsidRPr="32431C93">
        <w:rPr>
          <w:rFonts w:ascii="Calibri" w:eastAsia="Calibri" w:hAnsi="Calibri" w:cs="Calibri"/>
          <w:sz w:val="21"/>
          <w:szCs w:val="21"/>
        </w:rPr>
        <w:t xml:space="preserve"> protected characteristics, including race, color, national origin, or sex</w:t>
      </w:r>
      <w:r w:rsidRPr="32431C93">
        <w:rPr>
          <w:rFonts w:ascii="Calibri" w:eastAsia="Calibri" w:hAnsi="Calibri" w:cs="Calibri"/>
          <w:sz w:val="21"/>
          <w:szCs w:val="21"/>
        </w:rPr>
        <w:t xml:space="preserve">. </w:t>
      </w:r>
      <w:r w:rsidR="0019616E" w:rsidRPr="32431C93">
        <w:rPr>
          <w:rFonts w:ascii="Calibri" w:eastAsia="Calibri" w:hAnsi="Calibri" w:cs="Calibri"/>
          <w:sz w:val="21"/>
          <w:szCs w:val="21"/>
        </w:rPr>
        <w:t xml:space="preserve">This approach is designed to ensure award decisions are not based on protected characteristics. </w:t>
      </w:r>
    </w:p>
    <w:p w14:paraId="7230BFB9" w14:textId="5B79AD1D" w:rsidR="6B8173A7" w:rsidRDefault="6B8173A7" w:rsidP="5680A7C7">
      <w:pPr>
        <w:pStyle w:val="Heading2"/>
        <w:spacing w:before="261" w:after="261" w:line="300" w:lineRule="auto"/>
        <w:rPr>
          <w:rFonts w:ascii="Calibri" w:eastAsia="Calibri" w:hAnsi="Calibri" w:cs="Calibri"/>
          <w:b/>
          <w:bCs/>
          <w:sz w:val="31"/>
          <w:szCs w:val="31"/>
        </w:rPr>
      </w:pPr>
      <w:r w:rsidRPr="5680A7C7">
        <w:rPr>
          <w:rFonts w:ascii="Calibri" w:eastAsia="Calibri" w:hAnsi="Calibri" w:cs="Calibri"/>
          <w:b/>
          <w:bCs/>
          <w:sz w:val="31"/>
          <w:szCs w:val="31"/>
        </w:rPr>
        <w:t>1. What Is Pooling?</w:t>
      </w:r>
    </w:p>
    <w:p w14:paraId="654E929D" w14:textId="2ADFEA2B" w:rsidR="6B8173A7" w:rsidRDefault="6B8173A7" w:rsidP="5680A7C7">
      <w:pPr>
        <w:spacing w:before="210" w:after="21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>Pooling means combining individual donor gifts into one larger fund that contains all comparable scholarships.  Comparable aid refers to awards with a common purpose—such as financial need or academic merit—ignoring any donor preferences related to race,</w:t>
      </w:r>
      <w:r w:rsidR="7E386D17" w:rsidRPr="5680A7C7">
        <w:rPr>
          <w:rFonts w:ascii="Calibri" w:eastAsia="Calibri" w:hAnsi="Calibri" w:cs="Calibri"/>
          <w:sz w:val="21"/>
          <w:szCs w:val="21"/>
        </w:rPr>
        <w:t xml:space="preserve"> color, national origin</w:t>
      </w:r>
      <w:r w:rsidRPr="5680A7C7">
        <w:rPr>
          <w:rFonts w:ascii="Calibri" w:eastAsia="Calibri" w:hAnsi="Calibri" w:cs="Calibri"/>
          <w:sz w:val="21"/>
          <w:szCs w:val="21"/>
        </w:rPr>
        <w:t>, or sex.</w:t>
      </w:r>
      <w:r w:rsidR="6A3A9A45" w:rsidRPr="5680A7C7">
        <w:rPr>
          <w:rFonts w:ascii="Calibri" w:eastAsia="Calibri" w:hAnsi="Calibri" w:cs="Calibri"/>
          <w:sz w:val="21"/>
          <w:szCs w:val="21"/>
        </w:rPr>
        <w:t xml:space="preserve"> Pooling </w:t>
      </w:r>
      <w:r w:rsidR="00E03BC6">
        <w:rPr>
          <w:rFonts w:ascii="Calibri" w:eastAsia="Calibri" w:hAnsi="Calibri" w:cs="Calibri"/>
          <w:sz w:val="21"/>
          <w:szCs w:val="21"/>
        </w:rPr>
        <w:t>has historically been seen as</w:t>
      </w:r>
      <w:r w:rsidR="6A3A9A45" w:rsidRPr="5680A7C7">
        <w:rPr>
          <w:rFonts w:ascii="Calibri" w:eastAsia="Calibri" w:hAnsi="Calibri" w:cs="Calibri"/>
          <w:sz w:val="21"/>
          <w:szCs w:val="21"/>
        </w:rPr>
        <w:t xml:space="preserve"> neutral and increases overall flexibility and minimizes risk.</w:t>
      </w:r>
    </w:p>
    <w:p w14:paraId="1AA65722" w14:textId="4E389358" w:rsidR="6B8173A7" w:rsidRDefault="6B8173A7" w:rsidP="5680A7C7">
      <w:pPr>
        <w:pStyle w:val="Subtitle"/>
        <w:rPr>
          <w:rFonts w:ascii="Calibri" w:eastAsia="Calibri" w:hAnsi="Calibri" w:cs="Calibri"/>
          <w:sz w:val="21"/>
          <w:szCs w:val="21"/>
        </w:rPr>
      </w:pPr>
      <w:r w:rsidRPr="5680A7C7">
        <w:t>By pooling funds:</w:t>
      </w:r>
    </w:p>
    <w:p w14:paraId="5091C735" w14:textId="4C8C0F4B" w:rsidR="0ECD5B81" w:rsidRDefault="0ECD5B81" w:rsidP="5680A7C7">
      <w:pPr>
        <w:pStyle w:val="ListParagraph"/>
        <w:numPr>
          <w:ilvl w:val="0"/>
          <w:numId w:val="3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69A91E83">
        <w:rPr>
          <w:rFonts w:ascii="Calibri" w:eastAsia="Calibri" w:hAnsi="Calibri" w:cs="Calibri"/>
          <w:sz w:val="21"/>
          <w:szCs w:val="21"/>
        </w:rPr>
        <w:t>Race-, color-, national origin-</w:t>
      </w:r>
      <w:r w:rsidR="00321764" w:rsidRPr="69A91E83">
        <w:rPr>
          <w:rFonts w:ascii="Calibri" w:eastAsia="Calibri" w:hAnsi="Calibri" w:cs="Calibri"/>
          <w:sz w:val="21"/>
          <w:szCs w:val="21"/>
        </w:rPr>
        <w:t xml:space="preserve"> (including actual or perceived shared ancestry or citizenship or residency in a country with a dominant religion or distinct religious identity)</w:t>
      </w:r>
      <w:r w:rsidRPr="69A91E83">
        <w:rPr>
          <w:rFonts w:ascii="Calibri" w:eastAsia="Calibri" w:hAnsi="Calibri" w:cs="Calibri"/>
          <w:sz w:val="21"/>
          <w:szCs w:val="21"/>
        </w:rPr>
        <w:t>, or sex‑restricted</w:t>
      </w:r>
      <w:r w:rsidR="6B8173A7" w:rsidRPr="69A91E83">
        <w:rPr>
          <w:rFonts w:ascii="Calibri" w:eastAsia="Calibri" w:hAnsi="Calibri" w:cs="Calibri"/>
          <w:sz w:val="21"/>
          <w:szCs w:val="21"/>
        </w:rPr>
        <w:t xml:space="preserve"> awards make up only a small portion of the overall pool.</w:t>
      </w:r>
      <w:r w:rsidR="00CC326C" w:rsidRPr="69A91E83">
        <w:rPr>
          <w:rFonts w:ascii="Calibri" w:eastAsia="Calibri" w:hAnsi="Calibri" w:cs="Calibri"/>
          <w:sz w:val="21"/>
          <w:szCs w:val="21"/>
        </w:rPr>
        <w:t xml:space="preserve"> Please note that tribal affiliation is not considered a race, but a political affiliation. Native American and Alaskan Native are considered races.</w:t>
      </w:r>
    </w:p>
    <w:p w14:paraId="06EFBEE7" w14:textId="38A3D9CC" w:rsidR="17EB5DD4" w:rsidRDefault="17EB5DD4" w:rsidP="5680A7C7">
      <w:pPr>
        <w:pStyle w:val="ListParagraph"/>
        <w:numPr>
          <w:ilvl w:val="0"/>
          <w:numId w:val="3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69A91E83">
        <w:rPr>
          <w:rFonts w:ascii="Calibri" w:eastAsia="Calibri" w:hAnsi="Calibri" w:cs="Calibri"/>
          <w:sz w:val="21"/>
          <w:szCs w:val="21"/>
        </w:rPr>
        <w:t>Department</w:t>
      </w:r>
      <w:r w:rsidR="6B8173A7" w:rsidRPr="69A91E83">
        <w:rPr>
          <w:rFonts w:ascii="Calibri" w:eastAsia="Calibri" w:hAnsi="Calibri" w:cs="Calibri"/>
          <w:sz w:val="21"/>
          <w:szCs w:val="21"/>
        </w:rPr>
        <w:t>s first make award decisions using neutral</w:t>
      </w:r>
      <w:r w:rsidR="00E03BC6" w:rsidRPr="69A91E83">
        <w:rPr>
          <w:rFonts w:ascii="Calibri" w:eastAsia="Calibri" w:hAnsi="Calibri" w:cs="Calibri"/>
          <w:sz w:val="21"/>
          <w:szCs w:val="21"/>
        </w:rPr>
        <w:t>, non-discriminatory</w:t>
      </w:r>
      <w:r w:rsidR="6B8173A7" w:rsidRPr="69A91E83">
        <w:rPr>
          <w:rFonts w:ascii="Calibri" w:eastAsia="Calibri" w:hAnsi="Calibri" w:cs="Calibri"/>
          <w:sz w:val="21"/>
          <w:szCs w:val="21"/>
        </w:rPr>
        <w:t xml:space="preserve"> criteria only</w:t>
      </w:r>
      <w:r w:rsidR="67D399EB" w:rsidRPr="69A91E83">
        <w:rPr>
          <w:rFonts w:ascii="Calibri" w:eastAsia="Calibri" w:hAnsi="Calibri" w:cs="Calibri"/>
          <w:sz w:val="21"/>
          <w:szCs w:val="21"/>
        </w:rPr>
        <w:t xml:space="preserve"> (such as GPA, major, need, </w:t>
      </w:r>
      <w:proofErr w:type="spellStart"/>
      <w:r w:rsidR="67D399EB" w:rsidRPr="69A91E83">
        <w:rPr>
          <w:rFonts w:ascii="Calibri" w:eastAsia="Calibri" w:hAnsi="Calibri" w:cs="Calibri"/>
          <w:sz w:val="21"/>
          <w:szCs w:val="21"/>
        </w:rPr>
        <w:t>etc</w:t>
      </w:r>
      <w:proofErr w:type="spellEnd"/>
      <w:r w:rsidR="67D399EB" w:rsidRPr="69A91E83">
        <w:rPr>
          <w:rFonts w:ascii="Calibri" w:eastAsia="Calibri" w:hAnsi="Calibri" w:cs="Calibri"/>
          <w:sz w:val="21"/>
          <w:szCs w:val="21"/>
        </w:rPr>
        <w:t>)</w:t>
      </w:r>
      <w:r w:rsidR="6B8173A7" w:rsidRPr="69A91E83">
        <w:rPr>
          <w:rFonts w:ascii="Calibri" w:eastAsia="Calibri" w:hAnsi="Calibri" w:cs="Calibri"/>
          <w:sz w:val="21"/>
          <w:szCs w:val="21"/>
        </w:rPr>
        <w:t>.</w:t>
      </w:r>
    </w:p>
    <w:p w14:paraId="0846F4E1" w14:textId="6983B0DF" w:rsidR="6B8173A7" w:rsidRDefault="6B8173A7" w:rsidP="5680A7C7">
      <w:pPr>
        <w:pStyle w:val="ListParagraph"/>
        <w:numPr>
          <w:ilvl w:val="0"/>
          <w:numId w:val="3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 xml:space="preserve">Once </w:t>
      </w:r>
      <w:r w:rsidR="658EB25C" w:rsidRPr="5680A7C7">
        <w:rPr>
          <w:rFonts w:ascii="Calibri" w:eastAsia="Calibri" w:hAnsi="Calibri" w:cs="Calibri"/>
          <w:sz w:val="21"/>
          <w:szCs w:val="21"/>
        </w:rPr>
        <w:t xml:space="preserve">scholarship selection </w:t>
      </w:r>
      <w:r w:rsidRPr="5680A7C7">
        <w:rPr>
          <w:rFonts w:ascii="Calibri" w:eastAsia="Calibri" w:hAnsi="Calibri" w:cs="Calibri"/>
          <w:sz w:val="21"/>
          <w:szCs w:val="21"/>
        </w:rPr>
        <w:t xml:space="preserve">decisions are final, </w:t>
      </w:r>
      <w:r w:rsidR="1B5D7845" w:rsidRPr="5680A7C7">
        <w:rPr>
          <w:rFonts w:ascii="Calibri" w:eastAsia="Calibri" w:hAnsi="Calibri" w:cs="Calibri"/>
          <w:sz w:val="21"/>
          <w:szCs w:val="21"/>
        </w:rPr>
        <w:t xml:space="preserve">all </w:t>
      </w:r>
      <w:r w:rsidRPr="5680A7C7">
        <w:rPr>
          <w:rFonts w:ascii="Calibri" w:eastAsia="Calibri" w:hAnsi="Calibri" w:cs="Calibri"/>
          <w:sz w:val="21"/>
          <w:szCs w:val="21"/>
        </w:rPr>
        <w:t>students are matched to funding sources within the pool.</w:t>
      </w:r>
    </w:p>
    <w:p w14:paraId="27134D48" w14:textId="0DB1C973" w:rsidR="6B8173A7" w:rsidRDefault="6B8173A7" w:rsidP="5680A7C7">
      <w:pPr>
        <w:pStyle w:val="Heading2"/>
        <w:spacing w:before="261" w:after="261" w:line="300" w:lineRule="auto"/>
        <w:rPr>
          <w:rFonts w:ascii="Calibri" w:eastAsia="Calibri" w:hAnsi="Calibri" w:cs="Calibri"/>
          <w:b/>
          <w:bCs/>
          <w:sz w:val="31"/>
          <w:szCs w:val="31"/>
        </w:rPr>
      </w:pPr>
      <w:r w:rsidRPr="5680A7C7">
        <w:rPr>
          <w:rFonts w:ascii="Calibri" w:eastAsia="Calibri" w:hAnsi="Calibri" w:cs="Calibri"/>
          <w:b/>
          <w:bCs/>
          <w:sz w:val="31"/>
          <w:szCs w:val="31"/>
        </w:rPr>
        <w:t>2. How the Pooling Process Works</w:t>
      </w:r>
    </w:p>
    <w:p w14:paraId="300231A0" w14:textId="7EB4D0B7" w:rsidR="6B8173A7" w:rsidRDefault="6B8173A7" w:rsidP="5680A7C7">
      <w:pPr>
        <w:pStyle w:val="Heading3"/>
        <w:spacing w:before="246" w:after="246" w:line="30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5680A7C7">
        <w:rPr>
          <w:rFonts w:ascii="Calibri" w:eastAsia="Calibri" w:hAnsi="Calibri" w:cs="Calibri"/>
          <w:b/>
          <w:bCs/>
          <w:sz w:val="24"/>
          <w:szCs w:val="24"/>
        </w:rPr>
        <w:t>Step 1 — Combine All Comparable Aid</w:t>
      </w:r>
    </w:p>
    <w:p w14:paraId="7494470E" w14:textId="0690439E" w:rsidR="6B8173A7" w:rsidRDefault="703CA4D5" w:rsidP="5680A7C7">
      <w:pPr>
        <w:spacing w:before="210" w:after="21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>Determine which scholarships are going to be pooled together</w:t>
      </w:r>
      <w:r w:rsidR="5BA08A90" w:rsidRPr="5680A7C7">
        <w:rPr>
          <w:rFonts w:ascii="Calibri" w:eastAsia="Calibri" w:hAnsi="Calibri" w:cs="Calibri"/>
          <w:sz w:val="21"/>
          <w:szCs w:val="21"/>
        </w:rPr>
        <w:t>.</w:t>
      </w:r>
      <w:r w:rsidRPr="5680A7C7">
        <w:rPr>
          <w:rFonts w:ascii="Calibri" w:eastAsia="Calibri" w:hAnsi="Calibri" w:cs="Calibri"/>
          <w:sz w:val="21"/>
          <w:szCs w:val="21"/>
        </w:rPr>
        <w:t xml:space="preserve"> </w:t>
      </w:r>
      <w:r w:rsidR="6B8173A7" w:rsidRPr="5680A7C7">
        <w:rPr>
          <w:rFonts w:ascii="Calibri" w:eastAsia="Calibri" w:hAnsi="Calibri" w:cs="Calibri"/>
          <w:sz w:val="21"/>
          <w:szCs w:val="21"/>
        </w:rPr>
        <w:t>All donor gifts intended for a similar purpose are placed into one general pool.</w:t>
      </w:r>
      <w:r w:rsidR="08649F6A" w:rsidRPr="5680A7C7">
        <w:rPr>
          <w:rFonts w:ascii="Calibri" w:eastAsia="Calibri" w:hAnsi="Calibri" w:cs="Calibri"/>
          <w:sz w:val="21"/>
          <w:szCs w:val="21"/>
        </w:rPr>
        <w:t xml:space="preserve"> </w:t>
      </w:r>
      <w:r w:rsidR="00E03BC6">
        <w:rPr>
          <w:rFonts w:ascii="Calibri" w:eastAsia="Calibri" w:hAnsi="Calibri" w:cs="Calibri"/>
          <w:sz w:val="21"/>
          <w:szCs w:val="21"/>
        </w:rPr>
        <w:t>Fund r</w:t>
      </w:r>
      <w:r w:rsidR="6B8173A7" w:rsidRPr="5680A7C7">
        <w:rPr>
          <w:rFonts w:ascii="Calibri" w:eastAsia="Calibri" w:hAnsi="Calibri" w:cs="Calibri"/>
          <w:sz w:val="21"/>
          <w:szCs w:val="21"/>
        </w:rPr>
        <w:t xml:space="preserve">estrictions related to </w:t>
      </w:r>
      <w:r w:rsidR="449B6A30" w:rsidRPr="5680A7C7">
        <w:rPr>
          <w:rFonts w:ascii="Calibri" w:eastAsia="Calibri" w:hAnsi="Calibri" w:cs="Calibri"/>
          <w:sz w:val="21"/>
          <w:szCs w:val="21"/>
        </w:rPr>
        <w:t>race, color, national origin, or sex</w:t>
      </w:r>
      <w:r w:rsidR="6B8173A7" w:rsidRPr="5680A7C7">
        <w:rPr>
          <w:rFonts w:ascii="Calibri" w:eastAsia="Calibri" w:hAnsi="Calibri" w:cs="Calibri"/>
          <w:sz w:val="21"/>
          <w:szCs w:val="21"/>
        </w:rPr>
        <w:t xml:space="preserve"> are temporarily disregarded during this step.</w:t>
      </w:r>
    </w:p>
    <w:p w14:paraId="3B6EDF45" w14:textId="43DD5518" w:rsidR="6B8173A7" w:rsidRDefault="6B8173A7" w:rsidP="5680A7C7">
      <w:pPr>
        <w:pStyle w:val="Heading3"/>
        <w:spacing w:before="246" w:after="246" w:line="30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5680A7C7">
        <w:rPr>
          <w:rFonts w:ascii="Calibri" w:eastAsia="Calibri" w:hAnsi="Calibri" w:cs="Calibri"/>
          <w:b/>
          <w:bCs/>
          <w:sz w:val="24"/>
          <w:szCs w:val="24"/>
        </w:rPr>
        <w:t>Step 2 — Select Recipients Using Only Neutral Criteria</w:t>
      </w:r>
    </w:p>
    <w:p w14:paraId="611C1427" w14:textId="7B3FB51C" w:rsidR="6B8173A7" w:rsidRDefault="6B8173A7" w:rsidP="5680A7C7">
      <w:pPr>
        <w:spacing w:before="210" w:after="21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 xml:space="preserve">The </w:t>
      </w:r>
      <w:r w:rsidR="45E3BA0E" w:rsidRPr="5680A7C7">
        <w:rPr>
          <w:rFonts w:ascii="Calibri" w:eastAsia="Calibri" w:hAnsi="Calibri" w:cs="Calibri"/>
          <w:sz w:val="21"/>
          <w:szCs w:val="21"/>
        </w:rPr>
        <w:t>department</w:t>
      </w:r>
      <w:r w:rsidRPr="5680A7C7">
        <w:rPr>
          <w:rFonts w:ascii="Calibri" w:eastAsia="Calibri" w:hAnsi="Calibri" w:cs="Calibri"/>
          <w:sz w:val="21"/>
          <w:szCs w:val="21"/>
        </w:rPr>
        <w:t xml:space="preserve"> determines</w:t>
      </w:r>
      <w:r w:rsidR="3346271D" w:rsidRPr="5680A7C7">
        <w:rPr>
          <w:rFonts w:ascii="Calibri" w:eastAsia="Calibri" w:hAnsi="Calibri" w:cs="Calibri"/>
          <w:sz w:val="21"/>
          <w:szCs w:val="21"/>
        </w:rPr>
        <w:t xml:space="preserve"> w</w:t>
      </w:r>
      <w:r w:rsidRPr="5680A7C7">
        <w:rPr>
          <w:rFonts w:ascii="Calibri" w:eastAsia="Calibri" w:hAnsi="Calibri" w:cs="Calibri"/>
          <w:sz w:val="21"/>
          <w:szCs w:val="21"/>
        </w:rPr>
        <w:t>ho will receive a</w:t>
      </w:r>
      <w:r w:rsidR="0CF6AE9D" w:rsidRPr="5680A7C7">
        <w:rPr>
          <w:rFonts w:ascii="Calibri" w:eastAsia="Calibri" w:hAnsi="Calibri" w:cs="Calibri"/>
          <w:sz w:val="21"/>
          <w:szCs w:val="21"/>
        </w:rPr>
        <w:t xml:space="preserve"> scholarship</w:t>
      </w:r>
      <w:r w:rsidR="0019616E">
        <w:rPr>
          <w:rFonts w:ascii="Calibri" w:eastAsia="Calibri" w:hAnsi="Calibri" w:cs="Calibri"/>
          <w:sz w:val="21"/>
          <w:szCs w:val="21"/>
        </w:rPr>
        <w:t xml:space="preserve"> and the amount of the scholarship</w:t>
      </w:r>
      <w:r w:rsidR="0CF6AE9D" w:rsidRPr="5680A7C7">
        <w:rPr>
          <w:rFonts w:ascii="Calibri" w:eastAsia="Calibri" w:hAnsi="Calibri" w:cs="Calibri"/>
          <w:sz w:val="21"/>
          <w:szCs w:val="21"/>
        </w:rPr>
        <w:t xml:space="preserve"> from this pool </w:t>
      </w:r>
      <w:r w:rsidRPr="5680A7C7">
        <w:rPr>
          <w:rFonts w:ascii="Calibri" w:eastAsia="Calibri" w:hAnsi="Calibri" w:cs="Calibri"/>
          <w:sz w:val="21"/>
          <w:szCs w:val="21"/>
        </w:rPr>
        <w:t xml:space="preserve">without considering </w:t>
      </w:r>
      <w:r w:rsidR="6B86CA73" w:rsidRPr="5680A7C7">
        <w:rPr>
          <w:rFonts w:ascii="Calibri" w:eastAsia="Calibri" w:hAnsi="Calibri" w:cs="Calibri"/>
          <w:sz w:val="21"/>
          <w:szCs w:val="21"/>
        </w:rPr>
        <w:t>race, color, national origin, sex, or</w:t>
      </w:r>
      <w:r w:rsidRPr="5680A7C7">
        <w:rPr>
          <w:rFonts w:ascii="Calibri" w:eastAsia="Calibri" w:hAnsi="Calibri" w:cs="Calibri"/>
          <w:sz w:val="21"/>
          <w:szCs w:val="21"/>
        </w:rPr>
        <w:t xml:space="preserve"> any other characteristic that could raise </w:t>
      </w:r>
      <w:r w:rsidR="0019616E">
        <w:rPr>
          <w:rFonts w:ascii="Calibri" w:eastAsia="Calibri" w:hAnsi="Calibri" w:cs="Calibri"/>
          <w:sz w:val="21"/>
          <w:szCs w:val="21"/>
        </w:rPr>
        <w:t>compliance</w:t>
      </w:r>
      <w:r w:rsidRPr="5680A7C7">
        <w:rPr>
          <w:rFonts w:ascii="Calibri" w:eastAsia="Calibri" w:hAnsi="Calibri" w:cs="Calibri"/>
          <w:sz w:val="21"/>
          <w:szCs w:val="21"/>
        </w:rPr>
        <w:t xml:space="preserve"> concerns.</w:t>
      </w:r>
      <w:r w:rsidR="546D8B9C" w:rsidRPr="5680A7C7">
        <w:rPr>
          <w:rFonts w:ascii="Calibri" w:eastAsia="Calibri" w:hAnsi="Calibri" w:cs="Calibri"/>
          <w:sz w:val="21"/>
          <w:szCs w:val="21"/>
        </w:rPr>
        <w:t xml:space="preserve"> To help narrow the pool of students, you can add filters based on non-discriminatory criteria such as GPA, major, need, etc.</w:t>
      </w:r>
    </w:p>
    <w:p w14:paraId="4971C05D" w14:textId="45306DC6" w:rsidR="003A1F6F" w:rsidRDefault="003A1F6F" w:rsidP="5680A7C7">
      <w:pPr>
        <w:spacing w:before="210" w:after="21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As a best practice, scholarship administrators or committees should be screened from protected criteria.  </w:t>
      </w:r>
    </w:p>
    <w:p w14:paraId="19E44901" w14:textId="48C4F849" w:rsidR="6B8173A7" w:rsidRDefault="6B8173A7" w:rsidP="5680A7C7">
      <w:pPr>
        <w:pStyle w:val="Heading3"/>
        <w:spacing w:before="246" w:after="246" w:line="30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5680A7C7">
        <w:rPr>
          <w:rFonts w:ascii="Calibri" w:eastAsia="Calibri" w:hAnsi="Calibri" w:cs="Calibri"/>
          <w:b/>
          <w:bCs/>
          <w:sz w:val="24"/>
          <w:szCs w:val="24"/>
        </w:rPr>
        <w:t>Step 3 — Match Students to Donor Funds</w:t>
      </w:r>
    </w:p>
    <w:p w14:paraId="12FD17E9" w14:textId="1049FC16" w:rsidR="6B8173A7" w:rsidRDefault="6B8173A7" w:rsidP="5680A7C7">
      <w:pPr>
        <w:spacing w:before="210" w:after="21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>After recipients are selected:</w:t>
      </w:r>
    </w:p>
    <w:p w14:paraId="6FBF1AA6" w14:textId="5E5C6913" w:rsidR="6B8173A7" w:rsidRDefault="6B8173A7" w:rsidP="5680A7C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 xml:space="preserve">Students who </w:t>
      </w:r>
      <w:r w:rsidR="003A1F6F">
        <w:rPr>
          <w:rFonts w:ascii="Calibri" w:eastAsia="Calibri" w:hAnsi="Calibri" w:cs="Calibri"/>
          <w:sz w:val="21"/>
          <w:szCs w:val="21"/>
        </w:rPr>
        <w:t xml:space="preserve">happen to </w:t>
      </w:r>
      <w:r w:rsidRPr="5680A7C7">
        <w:rPr>
          <w:rFonts w:ascii="Calibri" w:eastAsia="Calibri" w:hAnsi="Calibri" w:cs="Calibri"/>
          <w:sz w:val="21"/>
          <w:szCs w:val="21"/>
        </w:rPr>
        <w:t>meet additional donor‑specified criteria (e.g., a specific race or gender) are funded from those restricted donor accounts.</w:t>
      </w:r>
    </w:p>
    <w:p w14:paraId="787F0DAD" w14:textId="6031FFB6" w:rsidR="00E03BC6" w:rsidRDefault="00E03BC6" w:rsidP="00E03BC6">
      <w:pPr>
        <w:pStyle w:val="ListParagraph"/>
        <w:numPr>
          <w:ilvl w:val="1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If the donor restricted account exceeds the amount determined in Step 2 for the awardee, the additional funds are not awarded.</w:t>
      </w:r>
    </w:p>
    <w:p w14:paraId="0057F9EC" w14:textId="655A3425" w:rsidR="00E03BC6" w:rsidRDefault="00E03BC6" w:rsidP="00E03BC6">
      <w:pPr>
        <w:pStyle w:val="ListParagraph"/>
        <w:numPr>
          <w:ilvl w:val="1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If the donor restricted account does not meet the amount determined in Step 2 for the awardee, the remaining amount will be pulled from the unrestricted dollars in the pool. </w:t>
      </w:r>
    </w:p>
    <w:p w14:paraId="6673F859" w14:textId="4525C56F" w:rsidR="00E03BC6" w:rsidRDefault="00E03BC6" w:rsidP="00CC326C">
      <w:pPr>
        <w:pStyle w:val="ListParagraph"/>
        <w:numPr>
          <w:ilvl w:val="1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If there are no student awardees who meet donor-specific criteria, the restricted donor accounts are not utilized for this award cycle. </w:t>
      </w:r>
    </w:p>
    <w:p w14:paraId="271C1B63" w14:textId="17FD20AF" w:rsidR="6B8173A7" w:rsidRDefault="6B8173A7" w:rsidP="5680A7C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>The remaining students are funded using unrestricted dollars in the pool.</w:t>
      </w:r>
    </w:p>
    <w:p w14:paraId="62FD7D08" w14:textId="7103EF28" w:rsidR="733E3FB2" w:rsidRDefault="733E3FB2" w:rsidP="5680A7C7">
      <w:pPr>
        <w:pStyle w:val="ListParagraph"/>
        <w:numPr>
          <w:ilvl w:val="0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5680A7C7">
        <w:rPr>
          <w:rFonts w:ascii="Calibri" w:eastAsia="Calibri" w:hAnsi="Calibri" w:cs="Calibri"/>
          <w:sz w:val="21"/>
          <w:szCs w:val="21"/>
        </w:rPr>
        <w:t xml:space="preserve">All students who were selected in step 2 must receive a scholarship. </w:t>
      </w:r>
    </w:p>
    <w:p w14:paraId="296BD039" w14:textId="77777777" w:rsidR="003A1F6F" w:rsidRDefault="0019616E" w:rsidP="003A1F6F">
      <w:pPr>
        <w:pStyle w:val="ListParagraph"/>
        <w:numPr>
          <w:ilvl w:val="1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If there are insufficient funds to award all students</w:t>
      </w:r>
      <w:r w:rsidR="00E03BC6">
        <w:rPr>
          <w:rFonts w:ascii="Calibri" w:eastAsia="Calibri" w:hAnsi="Calibri" w:cs="Calibri"/>
          <w:sz w:val="21"/>
          <w:szCs w:val="21"/>
        </w:rPr>
        <w:t xml:space="preserve"> the awards that were determined in Step 2,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3A1F6F">
        <w:rPr>
          <w:rFonts w:ascii="Calibri" w:eastAsia="Calibri" w:hAnsi="Calibri" w:cs="Calibri"/>
          <w:sz w:val="21"/>
          <w:szCs w:val="21"/>
        </w:rPr>
        <w:t>the administrator must either:</w:t>
      </w:r>
    </w:p>
    <w:p w14:paraId="42846A86" w14:textId="49DD8D54" w:rsidR="003A1F6F" w:rsidRPr="00CC326C" w:rsidRDefault="003A1F6F" w:rsidP="00CC326C">
      <w:pPr>
        <w:pStyle w:val="ListParagraph"/>
        <w:numPr>
          <w:ilvl w:val="2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</w:t>
      </w:r>
      <w:r w:rsidRPr="00CC326C">
        <w:rPr>
          <w:rFonts w:ascii="Calibri" w:eastAsia="Calibri" w:hAnsi="Calibri" w:cs="Calibri"/>
          <w:sz w:val="21"/>
          <w:szCs w:val="21"/>
        </w:rPr>
        <w:t>djust award amounts so that:</w:t>
      </w:r>
    </w:p>
    <w:p w14:paraId="63186191" w14:textId="77777777" w:rsidR="003A1F6F" w:rsidRDefault="003A1F6F" w:rsidP="00CC326C">
      <w:pPr>
        <w:pStyle w:val="ListParagraph"/>
        <w:numPr>
          <w:ilvl w:val="3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All students selected through the nondiscriminatory process receive reduced but proportional awards, or</w:t>
      </w:r>
    </w:p>
    <w:p w14:paraId="715DBF29" w14:textId="22E28A0F" w:rsidR="0019616E" w:rsidRDefault="003A1F6F" w:rsidP="003A1F6F">
      <w:pPr>
        <w:pStyle w:val="ListParagraph"/>
        <w:numPr>
          <w:ilvl w:val="3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Awards are prioritized by lawful factors that do not involve protected characteristics.</w:t>
      </w:r>
      <w:r w:rsidR="00E03BC6">
        <w:rPr>
          <w:rFonts w:ascii="Calibri" w:eastAsia="Calibri" w:hAnsi="Calibri" w:cs="Calibri"/>
          <w:sz w:val="21"/>
          <w:szCs w:val="21"/>
        </w:rPr>
        <w:t xml:space="preserve"> </w:t>
      </w:r>
    </w:p>
    <w:p w14:paraId="02D33BF3" w14:textId="565C2F4F" w:rsidR="003A1F6F" w:rsidRDefault="003A1F6F" w:rsidP="003A1F6F">
      <w:pPr>
        <w:pStyle w:val="ListParagraph"/>
        <w:numPr>
          <w:ilvl w:val="2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Reduce the Total Number of Awards</w:t>
      </w:r>
    </w:p>
    <w:p w14:paraId="1B23FA9F" w14:textId="511F6D2E" w:rsidR="003A1F6F" w:rsidRDefault="003A1F6F" w:rsidP="00CC326C">
      <w:pPr>
        <w:pStyle w:val="ListParagraph"/>
        <w:numPr>
          <w:ilvl w:val="2"/>
          <w:numId w:val="1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Seek additional institutional funding (if available)</w:t>
      </w:r>
    </w:p>
    <w:p w14:paraId="6F87C1B1" w14:textId="77777777" w:rsidR="003A1F6F" w:rsidRDefault="003A1F6F" w:rsidP="003A1F6F">
      <w:pPr>
        <w:spacing w:after="0" w:line="300" w:lineRule="auto"/>
        <w:rPr>
          <w:rFonts w:ascii="Calibri" w:eastAsia="Calibri" w:hAnsi="Calibri" w:cs="Calibri"/>
          <w:sz w:val="21"/>
          <w:szCs w:val="21"/>
        </w:rPr>
      </w:pPr>
    </w:p>
    <w:p w14:paraId="47025A33" w14:textId="273F195B" w:rsidR="003A1F6F" w:rsidRDefault="003A1F6F" w:rsidP="003A1F6F">
      <w:p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 scholarship administrator must keep:</w:t>
      </w:r>
    </w:p>
    <w:p w14:paraId="0CDD7BF5" w14:textId="4CAE70C6" w:rsidR="003A1F6F" w:rsidRPr="00CC326C" w:rsidRDefault="003A1F6F" w:rsidP="00CC326C">
      <w:pPr>
        <w:pStyle w:val="ListParagraph"/>
        <w:numPr>
          <w:ilvl w:val="0"/>
          <w:numId w:val="4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00CC326C">
        <w:rPr>
          <w:rFonts w:ascii="Calibri" w:eastAsia="Calibri" w:hAnsi="Calibri" w:cs="Calibri"/>
          <w:sz w:val="21"/>
          <w:szCs w:val="21"/>
        </w:rPr>
        <w:t>A list of all scholarship recipients</w:t>
      </w:r>
    </w:p>
    <w:p w14:paraId="3B8B0EB9" w14:textId="783593E8" w:rsidR="003A1F6F" w:rsidRDefault="003A1F6F" w:rsidP="003A1F6F">
      <w:pPr>
        <w:pStyle w:val="ListParagraph"/>
        <w:numPr>
          <w:ilvl w:val="0"/>
          <w:numId w:val="4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00CC326C">
        <w:rPr>
          <w:rFonts w:ascii="Calibri" w:eastAsia="Calibri" w:hAnsi="Calibri" w:cs="Calibri"/>
          <w:sz w:val="21"/>
          <w:szCs w:val="21"/>
        </w:rPr>
        <w:t xml:space="preserve">Summary of </w:t>
      </w:r>
      <w:r>
        <w:rPr>
          <w:rFonts w:ascii="Calibri" w:eastAsia="Calibri" w:hAnsi="Calibri" w:cs="Calibri"/>
          <w:sz w:val="21"/>
          <w:szCs w:val="21"/>
        </w:rPr>
        <w:t>s</w:t>
      </w:r>
      <w:r w:rsidRPr="00CC326C">
        <w:rPr>
          <w:rFonts w:ascii="Calibri" w:eastAsia="Calibri" w:hAnsi="Calibri" w:cs="Calibri"/>
          <w:sz w:val="21"/>
          <w:szCs w:val="21"/>
        </w:rPr>
        <w:t xml:space="preserve">election criteria </w:t>
      </w:r>
      <w:proofErr w:type="gramStart"/>
      <w:r w:rsidRPr="00CC326C">
        <w:rPr>
          <w:rFonts w:ascii="Calibri" w:eastAsia="Calibri" w:hAnsi="Calibri" w:cs="Calibri"/>
          <w:sz w:val="21"/>
          <w:szCs w:val="21"/>
        </w:rPr>
        <w:t>used</w:t>
      </w:r>
      <w:proofErr w:type="gramEnd"/>
    </w:p>
    <w:p w14:paraId="4640948F" w14:textId="24884CB1" w:rsidR="003A1F6F" w:rsidRDefault="003A1F6F" w:rsidP="003A1F6F">
      <w:pPr>
        <w:pStyle w:val="ListParagraph"/>
        <w:numPr>
          <w:ilvl w:val="0"/>
          <w:numId w:val="4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Documentation showing no restricted protected characteristics was used in the </w:t>
      </w:r>
      <w:proofErr w:type="gramStart"/>
      <w:r>
        <w:rPr>
          <w:rFonts w:ascii="Calibri" w:eastAsia="Calibri" w:hAnsi="Calibri" w:cs="Calibri"/>
          <w:sz w:val="21"/>
          <w:szCs w:val="21"/>
        </w:rPr>
        <w:t>selection</w:t>
      </w:r>
      <w:proofErr w:type="gramEnd"/>
    </w:p>
    <w:p w14:paraId="4110512E" w14:textId="3983E961" w:rsidR="003A1F6F" w:rsidRDefault="003A1F6F" w:rsidP="003A1F6F">
      <w:pPr>
        <w:pStyle w:val="ListParagraph"/>
        <w:numPr>
          <w:ilvl w:val="0"/>
          <w:numId w:val="4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Matching worksheet showing how restricted funds were </w:t>
      </w:r>
      <w:proofErr w:type="gramStart"/>
      <w:r>
        <w:rPr>
          <w:rFonts w:ascii="Calibri" w:eastAsia="Calibri" w:hAnsi="Calibri" w:cs="Calibri"/>
          <w:sz w:val="21"/>
          <w:szCs w:val="21"/>
        </w:rPr>
        <w:t>allocated</w:t>
      </w:r>
      <w:proofErr w:type="gramEnd"/>
    </w:p>
    <w:p w14:paraId="2201C482" w14:textId="2FA5AC5A" w:rsidR="003A1F6F" w:rsidRDefault="003A1F6F" w:rsidP="003A1F6F">
      <w:pPr>
        <w:pStyle w:val="ListParagraph"/>
        <w:numPr>
          <w:ilvl w:val="0"/>
          <w:numId w:val="4"/>
        </w:num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Evidence that the match occurred after the </w:t>
      </w:r>
      <w:proofErr w:type="gramStart"/>
      <w:r>
        <w:rPr>
          <w:rFonts w:ascii="Calibri" w:eastAsia="Calibri" w:hAnsi="Calibri" w:cs="Calibri"/>
          <w:sz w:val="21"/>
          <w:szCs w:val="21"/>
        </w:rPr>
        <w:t>selection</w:t>
      </w:r>
      <w:proofErr w:type="gramEnd"/>
    </w:p>
    <w:p w14:paraId="3B3F31D7" w14:textId="5AD866B4" w:rsidR="003A1F6F" w:rsidRDefault="003A1F6F" w:rsidP="003A1F6F">
      <w:pPr>
        <w:spacing w:after="0" w:line="300" w:lineRule="auto"/>
        <w:rPr>
          <w:rFonts w:ascii="Calibri" w:eastAsia="Calibri" w:hAnsi="Calibri" w:cs="Calibri"/>
          <w:sz w:val="21"/>
          <w:szCs w:val="21"/>
        </w:rPr>
      </w:pPr>
      <w:r w:rsidRPr="32431C93">
        <w:rPr>
          <w:rFonts w:ascii="Calibri" w:eastAsia="Calibri" w:hAnsi="Calibri" w:cs="Calibri"/>
          <w:sz w:val="21"/>
          <w:szCs w:val="21"/>
        </w:rPr>
        <w:t xml:space="preserve">Records should be retained per WSU’s records retention policy. </w:t>
      </w:r>
    </w:p>
    <w:p w14:paraId="4AB52650" w14:textId="19B14C7D" w:rsidR="478A5768" w:rsidRDefault="478A5768" w:rsidP="5680A7C7">
      <w:pPr>
        <w:rPr>
          <w:rFonts w:ascii="Calibri" w:eastAsia="Calibri" w:hAnsi="Calibri" w:cs="Calibri"/>
        </w:rPr>
      </w:pPr>
    </w:p>
    <w:sectPr w:rsidR="478A576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095B" w14:textId="77777777" w:rsidR="002F0FE5" w:rsidRDefault="002F0FE5" w:rsidP="00145C8B">
      <w:pPr>
        <w:spacing w:after="0" w:line="240" w:lineRule="auto"/>
      </w:pPr>
      <w:r>
        <w:separator/>
      </w:r>
    </w:p>
  </w:endnote>
  <w:endnote w:type="continuationSeparator" w:id="0">
    <w:p w14:paraId="2AF4B61E" w14:textId="77777777" w:rsidR="002F0FE5" w:rsidRDefault="002F0FE5" w:rsidP="00145C8B">
      <w:pPr>
        <w:spacing w:after="0" w:line="240" w:lineRule="auto"/>
      </w:pPr>
      <w:r>
        <w:continuationSeparator/>
      </w:r>
    </w:p>
  </w:endnote>
  <w:endnote w:type="continuationNotice" w:id="1">
    <w:p w14:paraId="4455CFBC" w14:textId="77777777" w:rsidR="00AC4A41" w:rsidRDefault="00AC4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B5D5" w14:textId="366CCE5F" w:rsidR="00145C8B" w:rsidRDefault="478A5768">
    <w:pPr>
      <w:pStyle w:val="Footer"/>
    </w:pPr>
    <w:r>
      <w:t>Last updated: 2/</w:t>
    </w:r>
    <w:r w:rsidR="00CC326C">
      <w:t>24</w:t>
    </w:r>
    <w:r>
      <w:t>/2026</w:t>
    </w:r>
  </w:p>
  <w:p w14:paraId="121F276E" w14:textId="54510C5A" w:rsidR="00145C8B" w:rsidRDefault="0014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7085" w14:textId="77777777" w:rsidR="002F0FE5" w:rsidRDefault="002F0FE5" w:rsidP="00145C8B">
      <w:pPr>
        <w:spacing w:after="0" w:line="240" w:lineRule="auto"/>
      </w:pPr>
      <w:r>
        <w:separator/>
      </w:r>
    </w:p>
  </w:footnote>
  <w:footnote w:type="continuationSeparator" w:id="0">
    <w:p w14:paraId="42927089" w14:textId="77777777" w:rsidR="002F0FE5" w:rsidRDefault="002F0FE5" w:rsidP="00145C8B">
      <w:pPr>
        <w:spacing w:after="0" w:line="240" w:lineRule="auto"/>
      </w:pPr>
      <w:r>
        <w:continuationSeparator/>
      </w:r>
    </w:p>
  </w:footnote>
  <w:footnote w:type="continuationNotice" w:id="1">
    <w:p w14:paraId="0E13930C" w14:textId="77777777" w:rsidR="00AC4A41" w:rsidRDefault="00AC4A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8A5768" w14:paraId="55E6F7B1" w14:textId="77777777" w:rsidTr="478A5768">
      <w:trPr>
        <w:trHeight w:val="300"/>
      </w:trPr>
      <w:tc>
        <w:tcPr>
          <w:tcW w:w="3120" w:type="dxa"/>
        </w:tcPr>
        <w:p w14:paraId="66E92AB4" w14:textId="29E77652" w:rsidR="478A5768" w:rsidRDefault="478A5768" w:rsidP="478A5768">
          <w:pPr>
            <w:pStyle w:val="Header"/>
            <w:ind w:left="-115"/>
          </w:pPr>
        </w:p>
      </w:tc>
      <w:tc>
        <w:tcPr>
          <w:tcW w:w="3120" w:type="dxa"/>
        </w:tcPr>
        <w:p w14:paraId="17BE5B2F" w14:textId="3406695B" w:rsidR="478A5768" w:rsidRDefault="478A5768" w:rsidP="478A5768">
          <w:pPr>
            <w:pStyle w:val="Header"/>
            <w:jc w:val="center"/>
          </w:pPr>
        </w:p>
      </w:tc>
      <w:tc>
        <w:tcPr>
          <w:tcW w:w="3120" w:type="dxa"/>
        </w:tcPr>
        <w:p w14:paraId="631CCDF0" w14:textId="175659A5" w:rsidR="478A5768" w:rsidRDefault="478A5768" w:rsidP="478A5768">
          <w:pPr>
            <w:pStyle w:val="Header"/>
            <w:ind w:right="-115"/>
            <w:jc w:val="right"/>
          </w:pPr>
        </w:p>
      </w:tc>
    </w:tr>
  </w:tbl>
  <w:p w14:paraId="056143F6" w14:textId="7F7DBA46" w:rsidR="478A5768" w:rsidRDefault="478A5768" w:rsidP="478A5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54E"/>
    <w:multiLevelType w:val="hybridMultilevel"/>
    <w:tmpl w:val="5B6E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BF607"/>
    <w:multiLevelType w:val="hybridMultilevel"/>
    <w:tmpl w:val="CE9CED60"/>
    <w:lvl w:ilvl="0" w:tplc="3FB45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EA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0A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8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3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EC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E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6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01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7F61"/>
    <w:multiLevelType w:val="hybridMultilevel"/>
    <w:tmpl w:val="ACCA53D2"/>
    <w:lvl w:ilvl="0" w:tplc="1946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2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C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6B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6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F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C8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C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EF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90B30"/>
    <w:multiLevelType w:val="hybridMultilevel"/>
    <w:tmpl w:val="9FB46E62"/>
    <w:lvl w:ilvl="0" w:tplc="03144DC6">
      <w:start w:val="1"/>
      <w:numFmt w:val="decimal"/>
      <w:lvlText w:val="%1."/>
      <w:lvlJc w:val="left"/>
      <w:pPr>
        <w:ind w:left="720" w:hanging="360"/>
      </w:pPr>
    </w:lvl>
    <w:lvl w:ilvl="1" w:tplc="198A181E">
      <w:start w:val="1"/>
      <w:numFmt w:val="lowerLetter"/>
      <w:lvlText w:val="%2."/>
      <w:lvlJc w:val="left"/>
      <w:pPr>
        <w:ind w:left="1440" w:hanging="360"/>
      </w:pPr>
    </w:lvl>
    <w:lvl w:ilvl="2" w:tplc="820EE68E">
      <w:start w:val="1"/>
      <w:numFmt w:val="lowerRoman"/>
      <w:lvlText w:val="%3."/>
      <w:lvlJc w:val="right"/>
      <w:pPr>
        <w:ind w:left="2160" w:hanging="180"/>
      </w:pPr>
    </w:lvl>
    <w:lvl w:ilvl="3" w:tplc="9348D11C">
      <w:start w:val="1"/>
      <w:numFmt w:val="decimal"/>
      <w:lvlText w:val="%4."/>
      <w:lvlJc w:val="left"/>
      <w:pPr>
        <w:ind w:left="2880" w:hanging="360"/>
      </w:pPr>
    </w:lvl>
    <w:lvl w:ilvl="4" w:tplc="C700D12E">
      <w:start w:val="1"/>
      <w:numFmt w:val="lowerLetter"/>
      <w:lvlText w:val="%5."/>
      <w:lvlJc w:val="left"/>
      <w:pPr>
        <w:ind w:left="3600" w:hanging="360"/>
      </w:pPr>
    </w:lvl>
    <w:lvl w:ilvl="5" w:tplc="844A6FD4">
      <w:start w:val="1"/>
      <w:numFmt w:val="lowerRoman"/>
      <w:lvlText w:val="%6."/>
      <w:lvlJc w:val="right"/>
      <w:pPr>
        <w:ind w:left="4320" w:hanging="180"/>
      </w:pPr>
    </w:lvl>
    <w:lvl w:ilvl="6" w:tplc="A662AB52">
      <w:start w:val="1"/>
      <w:numFmt w:val="decimal"/>
      <w:lvlText w:val="%7."/>
      <w:lvlJc w:val="left"/>
      <w:pPr>
        <w:ind w:left="5040" w:hanging="360"/>
      </w:pPr>
    </w:lvl>
    <w:lvl w:ilvl="7" w:tplc="FEEC4C02">
      <w:start w:val="1"/>
      <w:numFmt w:val="lowerLetter"/>
      <w:lvlText w:val="%8."/>
      <w:lvlJc w:val="left"/>
      <w:pPr>
        <w:ind w:left="5760" w:hanging="360"/>
      </w:pPr>
    </w:lvl>
    <w:lvl w:ilvl="8" w:tplc="440A9644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6592">
    <w:abstractNumId w:val="3"/>
  </w:num>
  <w:num w:numId="2" w16cid:durableId="1539001710">
    <w:abstractNumId w:val="1"/>
  </w:num>
  <w:num w:numId="3" w16cid:durableId="1321887105">
    <w:abstractNumId w:val="2"/>
  </w:num>
  <w:num w:numId="4" w16cid:durableId="189819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8B"/>
    <w:rsid w:val="00096F40"/>
    <w:rsid w:val="00145C8B"/>
    <w:rsid w:val="0019616E"/>
    <w:rsid w:val="0023228B"/>
    <w:rsid w:val="002B4801"/>
    <w:rsid w:val="002F0FE5"/>
    <w:rsid w:val="00321764"/>
    <w:rsid w:val="00344F2F"/>
    <w:rsid w:val="003A1F6F"/>
    <w:rsid w:val="00495A5C"/>
    <w:rsid w:val="00514239"/>
    <w:rsid w:val="00777C18"/>
    <w:rsid w:val="008B53CB"/>
    <w:rsid w:val="00AC4A41"/>
    <w:rsid w:val="00BC587A"/>
    <w:rsid w:val="00CC326C"/>
    <w:rsid w:val="00CD3B54"/>
    <w:rsid w:val="00E03BC6"/>
    <w:rsid w:val="03C85AAE"/>
    <w:rsid w:val="08649F6A"/>
    <w:rsid w:val="089A3548"/>
    <w:rsid w:val="09ADCF69"/>
    <w:rsid w:val="0A713C5C"/>
    <w:rsid w:val="0B0BC31E"/>
    <w:rsid w:val="0CD85524"/>
    <w:rsid w:val="0CF6AE9D"/>
    <w:rsid w:val="0CFF9400"/>
    <w:rsid w:val="0ECD5B81"/>
    <w:rsid w:val="0F94C611"/>
    <w:rsid w:val="11268496"/>
    <w:rsid w:val="153373E3"/>
    <w:rsid w:val="17EB5DD4"/>
    <w:rsid w:val="1B5D7845"/>
    <w:rsid w:val="1E209AAA"/>
    <w:rsid w:val="1F3F1AC9"/>
    <w:rsid w:val="272F3B10"/>
    <w:rsid w:val="2D4159F2"/>
    <w:rsid w:val="2E6228E0"/>
    <w:rsid w:val="2F0223C2"/>
    <w:rsid w:val="31F9966B"/>
    <w:rsid w:val="32431C93"/>
    <w:rsid w:val="3346271D"/>
    <w:rsid w:val="33ECAA98"/>
    <w:rsid w:val="353246F5"/>
    <w:rsid w:val="37D9DB0A"/>
    <w:rsid w:val="3A59AE7C"/>
    <w:rsid w:val="3AEB3438"/>
    <w:rsid w:val="3FD5E736"/>
    <w:rsid w:val="42CE37B0"/>
    <w:rsid w:val="434AF9D6"/>
    <w:rsid w:val="43E96CBE"/>
    <w:rsid w:val="449B6A30"/>
    <w:rsid w:val="45E3BA0E"/>
    <w:rsid w:val="46CA4B5E"/>
    <w:rsid w:val="478A5768"/>
    <w:rsid w:val="494F254E"/>
    <w:rsid w:val="4A1E6ED3"/>
    <w:rsid w:val="4C310816"/>
    <w:rsid w:val="4D614337"/>
    <w:rsid w:val="5080BA8F"/>
    <w:rsid w:val="51B2164B"/>
    <w:rsid w:val="546D8B9C"/>
    <w:rsid w:val="5655452B"/>
    <w:rsid w:val="5680A7C7"/>
    <w:rsid w:val="58901784"/>
    <w:rsid w:val="5BA08A90"/>
    <w:rsid w:val="5D0D55BF"/>
    <w:rsid w:val="5FD1A84D"/>
    <w:rsid w:val="61BCD4A3"/>
    <w:rsid w:val="625106DC"/>
    <w:rsid w:val="63C62510"/>
    <w:rsid w:val="63D236CA"/>
    <w:rsid w:val="658EB25C"/>
    <w:rsid w:val="66D5CD89"/>
    <w:rsid w:val="67D399EB"/>
    <w:rsid w:val="69A91E83"/>
    <w:rsid w:val="69B4F62E"/>
    <w:rsid w:val="6A3A9A45"/>
    <w:rsid w:val="6B8173A7"/>
    <w:rsid w:val="6B86CA73"/>
    <w:rsid w:val="6C968C94"/>
    <w:rsid w:val="703CA4D5"/>
    <w:rsid w:val="70A8CCCD"/>
    <w:rsid w:val="7331ABB8"/>
    <w:rsid w:val="733E3FB2"/>
    <w:rsid w:val="745D13E9"/>
    <w:rsid w:val="757745D6"/>
    <w:rsid w:val="7C38CCA0"/>
    <w:rsid w:val="7E386D17"/>
    <w:rsid w:val="7FC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5FC1"/>
  <w15:chartTrackingRefBased/>
  <w15:docId w15:val="{40C5DF05-E0E7-49A9-9025-580AEF84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C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C8B"/>
  </w:style>
  <w:style w:type="paragraph" w:styleId="Footer">
    <w:name w:val="footer"/>
    <w:basedOn w:val="Normal"/>
    <w:link w:val="FooterChar"/>
    <w:uiPriority w:val="99"/>
    <w:unhideWhenUsed/>
    <w:rsid w:val="00145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C8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322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8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0e66b9-d171-404e-a889-4dbfaf8d17df">
      <Terms xmlns="http://schemas.microsoft.com/office/infopath/2007/PartnerControls"/>
    </lcf76f155ced4ddcb4097134ff3c332f>
    <TaxCatchAll xmlns="2ede3c53-7a4b-47bc-9966-a8e0855f82cb" xsi:nil="true"/>
    <_Flow_SignoffStatus xmlns="c70e66b9-d171-404e-a889-4dbfaf8d17df" xsi:nil="true"/>
    <Notes xmlns="c70e66b9-d171-404e-a889-4dbfaf8d1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EC92978114D4EBAD83EBA524275C2" ma:contentTypeVersion="20" ma:contentTypeDescription="Create a new document." ma:contentTypeScope="" ma:versionID="1b6b1e5c0f87aa7412b77f7dc9eea701">
  <xsd:schema xmlns:xsd="http://www.w3.org/2001/XMLSchema" xmlns:xs="http://www.w3.org/2001/XMLSchema" xmlns:p="http://schemas.microsoft.com/office/2006/metadata/properties" xmlns:ns2="c70e66b9-d171-404e-a889-4dbfaf8d17df" xmlns:ns3="4dc845fc-a0a7-4afe-bfdb-0a25efe6accb" xmlns:ns4="2ede3c53-7a4b-47bc-9966-a8e0855f82cb" targetNamespace="http://schemas.microsoft.com/office/2006/metadata/properties" ma:root="true" ma:fieldsID="8290bd9143c21c83f0c64a3ded6f4418" ns2:_="" ns3:_="" ns4:_="">
    <xsd:import namespace="c70e66b9-d171-404e-a889-4dbfaf8d17df"/>
    <xsd:import namespace="4dc845fc-a0a7-4afe-bfdb-0a25efe6accb"/>
    <xsd:import namespace="2ede3c53-7a4b-47bc-9966-a8e0855f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66b9-d171-404e-a889-4dbfaf8d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45fc-a0a7-4afe-bfdb-0a25efe6a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3c53-7a4b-47bc-9966-a8e0855f82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3ba6aa-44e1-49ab-9eb3-78d713f0b706}" ma:internalName="TaxCatchAll" ma:showField="CatchAllData" ma:web="2ede3c53-7a4b-47bc-9966-a8e0855f8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68E8-F203-4790-814A-2175B984B2ED}">
  <ds:schemaRefs>
    <ds:schemaRef ds:uri="http://schemas.microsoft.com/office/infopath/2007/PartnerControls"/>
    <ds:schemaRef ds:uri="c70e66b9-d171-404e-a889-4dbfaf8d17df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2ede3c53-7a4b-47bc-9966-a8e0855f82cb"/>
    <ds:schemaRef ds:uri="http://purl.org/dc/dcmitype/"/>
    <ds:schemaRef ds:uri="http://schemas.openxmlformats.org/package/2006/metadata/core-properties"/>
    <ds:schemaRef ds:uri="4dc845fc-a0a7-4afe-bfdb-0a25efe6acc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4B0E0E-9EFF-42E8-B831-25F3FD187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390DE-E1A9-4BA3-AF72-14EADEFCB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e66b9-d171-404e-a889-4dbfaf8d17df"/>
    <ds:schemaRef ds:uri="4dc845fc-a0a7-4afe-bfdb-0a25efe6accb"/>
    <ds:schemaRef ds:uri="2ede3c53-7a4b-47bc-9966-a8e0855f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36CC9-AFFE-451A-A550-97A2A1F3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3443</Characters>
  <Application>Microsoft Office Word</Application>
  <DocSecurity>0</DocSecurity>
  <Lines>28</Lines>
  <Paragraphs>8</Paragraphs>
  <ScaleCrop>false</ScaleCrop>
  <Company>Washington State Unversity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Scourey, Joy M</dc:creator>
  <cp:keywords/>
  <dc:description/>
  <cp:lastModifiedBy>Spens, Kalyn Summer</cp:lastModifiedBy>
  <cp:revision>2</cp:revision>
  <dcterms:created xsi:type="dcterms:W3CDTF">2026-03-30T16:41:00Z</dcterms:created>
  <dcterms:modified xsi:type="dcterms:W3CDTF">2026-03-30T16:41:00Z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0x010100E33EC92978114D4EBAD83EBA524275C2</vt:lpwstr>
  </property>
  <property fmtid="{D5CDD505-2E9C-101B-9397-08002B2CF9AE}" pid="3" name="MediaServiceImageTags">
    <vt:lpwstr/>
  </property>
</Properties>
</file>