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5705" w14:textId="34CF92BF" w:rsidR="0001678B" w:rsidRPr="0076423F" w:rsidRDefault="0001678B">
      <w:pPr>
        <w:rPr>
          <w:b/>
          <w:bCs/>
        </w:rPr>
      </w:pPr>
      <w:r w:rsidRPr="0076423F">
        <w:rPr>
          <w:b/>
          <w:bCs/>
        </w:rPr>
        <w:t>Quick Reference Guide</w:t>
      </w:r>
    </w:p>
    <w:p w14:paraId="2F243B77" w14:textId="3FA1B9F1" w:rsidR="0001678B" w:rsidRDefault="00B267C0">
      <w:r>
        <w:t>Per federal regulations, other sources of funding a student receives, not including non-</w:t>
      </w:r>
      <w:proofErr w:type="gramStart"/>
      <w:r>
        <w:t>need based</w:t>
      </w:r>
      <w:proofErr w:type="gramEnd"/>
      <w:r>
        <w:t xml:space="preserve"> employment earnings are considered other financial assistanc</w:t>
      </w:r>
      <w:r w:rsidR="0001678B">
        <w:t xml:space="preserve">e. The key factor is that the individual is receiving this resource because they are “a student”. </w:t>
      </w:r>
      <w:r w:rsidR="00CF71BD">
        <w:t xml:space="preserve"> There is no de minimis or minimum amount under the definition of other financial assistance (OFA) </w:t>
      </w:r>
      <w:r w:rsidR="00CF71BD" w:rsidRPr="00CF71BD">
        <w:t>in </w:t>
      </w:r>
      <w:hyperlink r:id="rId8" w:anchor="suba685102b" w:tgtFrame="_blank" w:history="1">
        <w:r w:rsidR="00CF71BD" w:rsidRPr="00CF71BD">
          <w:rPr>
            <w:rStyle w:val="Hyperlink"/>
          </w:rPr>
          <w:t>34 CFR 685.102(b)</w:t>
        </w:r>
      </w:hyperlink>
      <w:r w:rsidR="00CF71BD" w:rsidRPr="00CF71BD">
        <w:t> and </w:t>
      </w:r>
      <w:hyperlink r:id="rId9" w:anchor="subb6735c" w:tgtFrame="_blank" w:history="1">
        <w:r w:rsidR="00CF71BD" w:rsidRPr="00CF71BD">
          <w:rPr>
            <w:rStyle w:val="Hyperlink"/>
          </w:rPr>
          <w:t>673.5(c)</w:t>
        </w:r>
      </w:hyperlink>
      <w:r w:rsidR="00CF71BD">
        <w:t>.</w:t>
      </w:r>
    </w:p>
    <w:p w14:paraId="59290A6D" w14:textId="68AA1D74" w:rsidR="0001678B" w:rsidRDefault="0001678B">
      <w:r>
        <w:t>Reimbursements include the following:</w:t>
      </w:r>
    </w:p>
    <w:p w14:paraId="5CE92053" w14:textId="470BF213" w:rsidR="0001678B" w:rsidRDefault="0001678B" w:rsidP="0001678B">
      <w:pPr>
        <w:pStyle w:val="ListParagraph"/>
        <w:numPr>
          <w:ilvl w:val="0"/>
          <w:numId w:val="1"/>
        </w:numPr>
      </w:pPr>
      <w:r>
        <w:t>Travel to a conference: If this is a requirement of the student’s program, the cost can be included in the students Cost-of-Attendance</w:t>
      </w:r>
      <w:r w:rsidR="00CF71BD">
        <w:t xml:space="preserve"> (COA)</w:t>
      </w:r>
      <w:r>
        <w:t>.</w:t>
      </w:r>
      <w:r w:rsidR="00CF71BD">
        <w:t xml:space="preserve"> If not a requirement, there can be no adjustment to include in the COA.</w:t>
      </w:r>
    </w:p>
    <w:p w14:paraId="42165578" w14:textId="37367F92" w:rsidR="0001678B" w:rsidRDefault="0001678B" w:rsidP="0001678B">
      <w:pPr>
        <w:pStyle w:val="ListParagraph"/>
        <w:numPr>
          <w:ilvl w:val="0"/>
          <w:numId w:val="1"/>
        </w:numPr>
      </w:pPr>
      <w:r>
        <w:t xml:space="preserve">Cash Prizes: if the department is tracking students who receive the prize, it should be reported </w:t>
      </w:r>
      <w:r w:rsidR="00CF71BD">
        <w:t xml:space="preserve">through </w:t>
      </w:r>
      <w:r>
        <w:t xml:space="preserve">the </w:t>
      </w:r>
      <w:hyperlink r:id="rId10" w:history="1">
        <w:r w:rsidRPr="0001678B">
          <w:rPr>
            <w:rStyle w:val="Hyperlink"/>
          </w:rPr>
          <w:t>Student Reimbursements Form</w:t>
        </w:r>
      </w:hyperlink>
      <w:r>
        <w:t>.</w:t>
      </w:r>
    </w:p>
    <w:p w14:paraId="681390F5" w14:textId="0F7BCDC3" w:rsidR="0001678B" w:rsidRDefault="0001678B" w:rsidP="0001678B">
      <w:pPr>
        <w:pStyle w:val="ListParagraph"/>
        <w:numPr>
          <w:ilvl w:val="0"/>
          <w:numId w:val="1"/>
        </w:numPr>
      </w:pPr>
      <w:r>
        <w:t xml:space="preserve">Gift Cards: if the department is tracking students who receive the prize, it should be reported </w:t>
      </w:r>
      <w:r w:rsidR="00CF71BD">
        <w:t xml:space="preserve">through the </w:t>
      </w:r>
      <w:hyperlink r:id="rId11" w:history="1">
        <w:r w:rsidR="00CF71BD" w:rsidRPr="00CF71BD">
          <w:rPr>
            <w:rStyle w:val="Hyperlink"/>
          </w:rPr>
          <w:t>Student Reimbursement Form</w:t>
        </w:r>
      </w:hyperlink>
      <w:r w:rsidR="00CF71BD">
        <w:t>.</w:t>
      </w:r>
    </w:p>
    <w:p w14:paraId="345E80CC" w14:textId="3052994C" w:rsidR="00CF71BD" w:rsidRDefault="00CF71BD" w:rsidP="0001678B">
      <w:pPr>
        <w:pStyle w:val="ListParagraph"/>
        <w:numPr>
          <w:ilvl w:val="0"/>
          <w:numId w:val="1"/>
        </w:numPr>
      </w:pPr>
      <w:r>
        <w:t>Other reimbursements such as fitness center reimbursements, monetary awards or bonuses, post enrollment or graduation awards.</w:t>
      </w:r>
    </w:p>
    <w:p w14:paraId="1B84DD16" w14:textId="6E5E4043" w:rsidR="00CF71BD" w:rsidRDefault="00CF71BD" w:rsidP="0001678B">
      <w:pPr>
        <w:pStyle w:val="ListParagraph"/>
        <w:numPr>
          <w:ilvl w:val="0"/>
          <w:numId w:val="1"/>
        </w:numPr>
      </w:pPr>
      <w:r>
        <w:t xml:space="preserve">If a student is receiving a </w:t>
      </w:r>
      <w:r w:rsidR="00191AC9">
        <w:t>travel</w:t>
      </w:r>
      <w:r w:rsidR="00B66165">
        <w:t xml:space="preserve"> </w:t>
      </w:r>
      <w:r>
        <w:t xml:space="preserve">reimbursement </w:t>
      </w:r>
      <w:r w:rsidR="00191AC9">
        <w:t xml:space="preserve">as part of their role </w:t>
      </w:r>
      <w:r>
        <w:t>in a student organization, this does not have be accounted for.</w:t>
      </w:r>
    </w:p>
    <w:p w14:paraId="43D5C33E" w14:textId="7EF150FC" w:rsidR="00353492" w:rsidRDefault="009D1EEE" w:rsidP="00353492">
      <w:pPr>
        <w:pStyle w:val="ListParagraph"/>
        <w:numPr>
          <w:ilvl w:val="0"/>
          <w:numId w:val="1"/>
        </w:numPr>
      </w:pPr>
      <w:r>
        <w:t>G</w:t>
      </w:r>
      <w:r w:rsidR="00D82F26">
        <w:t>iveaways from events if department is tracking students who receive items:</w:t>
      </w:r>
      <w:r w:rsidR="00353492" w:rsidRPr="00353492">
        <w:t xml:space="preserve"> </w:t>
      </w:r>
      <w:r w:rsidR="00353492">
        <w:t xml:space="preserve">should be reported through the </w:t>
      </w:r>
      <w:hyperlink r:id="rId12" w:history="1">
        <w:r w:rsidR="00353492" w:rsidRPr="0001678B">
          <w:rPr>
            <w:rStyle w:val="Hyperlink"/>
          </w:rPr>
          <w:t>Student Reimbursements Form</w:t>
        </w:r>
      </w:hyperlink>
      <w:r w:rsidR="00353492">
        <w:t>.</w:t>
      </w:r>
    </w:p>
    <w:p w14:paraId="65396938" w14:textId="77777777" w:rsidR="00437BB5" w:rsidRDefault="00437BB5" w:rsidP="00437BB5">
      <w:pPr>
        <w:pStyle w:val="ListParagraph"/>
        <w:numPr>
          <w:ilvl w:val="0"/>
          <w:numId w:val="1"/>
        </w:numPr>
      </w:pPr>
      <w:r>
        <w:t xml:space="preserve">Covering the cost of a bus pass or helping w/book expenses: should be reported through the </w:t>
      </w:r>
      <w:hyperlink r:id="rId13" w:history="1">
        <w:r w:rsidRPr="0001678B">
          <w:rPr>
            <w:rStyle w:val="Hyperlink"/>
          </w:rPr>
          <w:t>Student Reimbursements Form</w:t>
        </w:r>
      </w:hyperlink>
      <w:r>
        <w:t>.</w:t>
      </w:r>
    </w:p>
    <w:p w14:paraId="37CD6BB4" w14:textId="77777777" w:rsidR="00DD0B33" w:rsidRDefault="00DD0B33" w:rsidP="00DD0B33"/>
    <w:p w14:paraId="55D73131" w14:textId="443F9F70" w:rsidR="00DD0B33" w:rsidRPr="00DD0B33" w:rsidRDefault="00DD0B33" w:rsidP="00DD0B33">
      <w:pPr>
        <w:ind w:left="360"/>
        <w:rPr>
          <w:b/>
          <w:bCs/>
          <w:sz w:val="22"/>
          <w:szCs w:val="22"/>
        </w:rPr>
      </w:pPr>
      <w:r w:rsidRPr="00DD0B33">
        <w:rPr>
          <w:b/>
          <w:bCs/>
          <w:sz w:val="22"/>
          <w:szCs w:val="22"/>
        </w:rPr>
        <w:t xml:space="preserve"> How Resource are Processed &amp; How SFS Receives the Information</w:t>
      </w:r>
    </w:p>
    <w:p w14:paraId="3B86FC18" w14:textId="77777777" w:rsidR="00DD0B33" w:rsidRPr="00DD0B33" w:rsidRDefault="00DD0B33" w:rsidP="00DD0B33">
      <w:pPr>
        <w:ind w:left="360"/>
        <w:rPr>
          <w:sz w:val="22"/>
          <w:szCs w:val="22"/>
        </w:rPr>
      </w:pPr>
      <w:r w:rsidRPr="00DD0B33">
        <w:rPr>
          <w:sz w:val="22"/>
          <w:szCs w:val="22"/>
        </w:rPr>
        <w:t>Note: note that non need based employment earnings or approved travel reimbursements as a part of a student’s role as an officer in a registered student organizations are not accounted for by SFS.</w:t>
      </w:r>
    </w:p>
    <w:p w14:paraId="47D37F5B" w14:textId="57D46659" w:rsidR="00DD0B33" w:rsidRPr="00DD0B33" w:rsidRDefault="00DD0B33" w:rsidP="00DD0B33">
      <w:pPr>
        <w:spacing w:after="0"/>
        <w:ind w:left="360"/>
        <w:rPr>
          <w:sz w:val="22"/>
          <w:szCs w:val="22"/>
        </w:rPr>
      </w:pPr>
      <w:r w:rsidRPr="00DD0B33">
        <w:rPr>
          <w:sz w:val="22"/>
          <w:szCs w:val="22"/>
        </w:rPr>
        <w:t>Payment Type</w:t>
      </w:r>
      <w:r w:rsidRPr="00DD0B33">
        <w:rPr>
          <w:sz w:val="22"/>
          <w:szCs w:val="22"/>
        </w:rPr>
        <w:tab/>
      </w:r>
      <w:r w:rsidRPr="00DD0B33">
        <w:rPr>
          <w:sz w:val="22"/>
          <w:szCs w:val="22"/>
        </w:rPr>
        <w:tab/>
        <w:t>Processed through</w:t>
      </w:r>
      <w:r w:rsidRPr="00DD0B33">
        <w:rPr>
          <w:sz w:val="22"/>
          <w:szCs w:val="22"/>
        </w:rPr>
        <w:tab/>
        <w:t xml:space="preserve">    SFS Receives</w:t>
      </w:r>
      <w:r w:rsidRPr="00DD0B33">
        <w:rPr>
          <w:sz w:val="22"/>
          <w:szCs w:val="22"/>
        </w:rPr>
        <w:tab/>
      </w:r>
      <w:r w:rsidRPr="00DD0B33">
        <w:rPr>
          <w:sz w:val="22"/>
          <w:szCs w:val="22"/>
        </w:rPr>
        <w:tab/>
        <w:t xml:space="preserve">    Funds Disbursed</w:t>
      </w:r>
      <w:r w:rsidRPr="00DD0B33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3"/>
        <w:gridCol w:w="1782"/>
        <w:gridCol w:w="2715"/>
        <w:gridCol w:w="1870"/>
      </w:tblGrid>
      <w:tr w:rsidR="00DD0B33" w:rsidRPr="006A7361" w14:paraId="0282B57A" w14:textId="77777777" w:rsidTr="00DD0B33">
        <w:tc>
          <w:tcPr>
            <w:tcW w:w="2983" w:type="dxa"/>
          </w:tcPr>
          <w:p w14:paraId="17C9ADE9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Travel Reimbursements</w:t>
            </w:r>
          </w:p>
        </w:tc>
        <w:tc>
          <w:tcPr>
            <w:tcW w:w="1782" w:type="dxa"/>
          </w:tcPr>
          <w:p w14:paraId="2F21940B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</w:t>
            </w:r>
          </w:p>
        </w:tc>
        <w:tc>
          <w:tcPr>
            <w:tcW w:w="2715" w:type="dxa"/>
          </w:tcPr>
          <w:p w14:paraId="36394004" w14:textId="059B374B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 Report</w:t>
            </w:r>
            <w:r w:rsidR="004D5A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14:paraId="4D59A10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Payroll</w:t>
            </w:r>
          </w:p>
        </w:tc>
      </w:tr>
      <w:tr w:rsidR="00DD0B33" w:rsidRPr="006A7361" w14:paraId="6229BB34" w14:textId="77777777" w:rsidTr="00DD0B33">
        <w:tc>
          <w:tcPr>
            <w:tcW w:w="2983" w:type="dxa"/>
          </w:tcPr>
          <w:p w14:paraId="6B78C47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proofErr w:type="gramStart"/>
            <w:r w:rsidRPr="006A7361">
              <w:rPr>
                <w:sz w:val="22"/>
                <w:szCs w:val="22"/>
              </w:rPr>
              <w:t>Non Service</w:t>
            </w:r>
            <w:proofErr w:type="gramEnd"/>
            <w:r w:rsidRPr="006A7361">
              <w:rPr>
                <w:sz w:val="22"/>
                <w:szCs w:val="22"/>
              </w:rPr>
              <w:t xml:space="preserve"> Payments</w:t>
            </w:r>
          </w:p>
        </w:tc>
        <w:tc>
          <w:tcPr>
            <w:tcW w:w="1782" w:type="dxa"/>
          </w:tcPr>
          <w:p w14:paraId="1314E298" w14:textId="456AEA18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</w:t>
            </w:r>
            <w:r w:rsidR="000E5EEB">
              <w:rPr>
                <w:sz w:val="22"/>
                <w:szCs w:val="22"/>
              </w:rPr>
              <w:t xml:space="preserve"> </w:t>
            </w:r>
            <w:r w:rsidR="00215271">
              <w:rPr>
                <w:sz w:val="22"/>
                <w:szCs w:val="22"/>
              </w:rPr>
              <w:t xml:space="preserve">– Use </w:t>
            </w:r>
            <w:r w:rsidR="000E5EEB">
              <w:rPr>
                <w:sz w:val="22"/>
                <w:szCs w:val="22"/>
              </w:rPr>
              <w:t>SC00396</w:t>
            </w:r>
          </w:p>
        </w:tc>
        <w:tc>
          <w:tcPr>
            <w:tcW w:w="2715" w:type="dxa"/>
          </w:tcPr>
          <w:p w14:paraId="2345ACF9" w14:textId="300754AA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 xml:space="preserve">Workday </w:t>
            </w:r>
            <w:r w:rsidR="004D5A7C">
              <w:rPr>
                <w:sz w:val="22"/>
                <w:szCs w:val="22"/>
              </w:rPr>
              <w:t>Report</w:t>
            </w:r>
          </w:p>
        </w:tc>
        <w:tc>
          <w:tcPr>
            <w:tcW w:w="1870" w:type="dxa"/>
          </w:tcPr>
          <w:p w14:paraId="4309986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Payroll</w:t>
            </w:r>
          </w:p>
        </w:tc>
      </w:tr>
      <w:tr w:rsidR="00DD0B33" w:rsidRPr="006A7361" w14:paraId="00A872DC" w14:textId="77777777" w:rsidTr="00DD0B33">
        <w:tc>
          <w:tcPr>
            <w:tcW w:w="2983" w:type="dxa"/>
          </w:tcPr>
          <w:p w14:paraId="75FFB4C5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Departmental Guarantees</w:t>
            </w:r>
          </w:p>
        </w:tc>
        <w:tc>
          <w:tcPr>
            <w:tcW w:w="1782" w:type="dxa"/>
          </w:tcPr>
          <w:p w14:paraId="6DC6E59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 Office</w:t>
            </w:r>
          </w:p>
        </w:tc>
        <w:tc>
          <w:tcPr>
            <w:tcW w:w="2715" w:type="dxa"/>
          </w:tcPr>
          <w:p w14:paraId="0262038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 xml:space="preserve">Report from Bursar’s </w:t>
            </w:r>
          </w:p>
        </w:tc>
        <w:tc>
          <w:tcPr>
            <w:tcW w:w="1870" w:type="dxa"/>
          </w:tcPr>
          <w:p w14:paraId="052F3F9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Students Account</w:t>
            </w:r>
          </w:p>
        </w:tc>
      </w:tr>
      <w:tr w:rsidR="00DD0B33" w:rsidRPr="006A7361" w14:paraId="679D6B96" w14:textId="77777777" w:rsidTr="00DD0B33">
        <w:tc>
          <w:tcPr>
            <w:tcW w:w="2983" w:type="dxa"/>
          </w:tcPr>
          <w:p w14:paraId="594B1FF4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Outside Guarantees</w:t>
            </w:r>
          </w:p>
        </w:tc>
        <w:tc>
          <w:tcPr>
            <w:tcW w:w="1782" w:type="dxa"/>
          </w:tcPr>
          <w:p w14:paraId="3215AD83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 Office</w:t>
            </w:r>
          </w:p>
        </w:tc>
        <w:tc>
          <w:tcPr>
            <w:tcW w:w="2715" w:type="dxa"/>
          </w:tcPr>
          <w:p w14:paraId="04AE38C9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Report from Bursar’s</w:t>
            </w:r>
          </w:p>
        </w:tc>
        <w:tc>
          <w:tcPr>
            <w:tcW w:w="1870" w:type="dxa"/>
          </w:tcPr>
          <w:p w14:paraId="2AC5215B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Students Account</w:t>
            </w:r>
          </w:p>
        </w:tc>
      </w:tr>
      <w:tr w:rsidR="00DD0B33" w:rsidRPr="006A7361" w14:paraId="2BB2CBCE" w14:textId="77777777" w:rsidTr="00DD0B33">
        <w:tc>
          <w:tcPr>
            <w:tcW w:w="2983" w:type="dxa"/>
          </w:tcPr>
          <w:p w14:paraId="1D3536E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Outside Scholarships</w:t>
            </w:r>
          </w:p>
        </w:tc>
        <w:tc>
          <w:tcPr>
            <w:tcW w:w="1782" w:type="dxa"/>
          </w:tcPr>
          <w:p w14:paraId="1D890F5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 Office</w:t>
            </w:r>
          </w:p>
        </w:tc>
        <w:tc>
          <w:tcPr>
            <w:tcW w:w="2715" w:type="dxa"/>
          </w:tcPr>
          <w:p w14:paraId="2E1E765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Disbursed through SFS</w:t>
            </w:r>
          </w:p>
        </w:tc>
        <w:tc>
          <w:tcPr>
            <w:tcW w:w="1870" w:type="dxa"/>
          </w:tcPr>
          <w:p w14:paraId="61AFADF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Students Account</w:t>
            </w:r>
          </w:p>
        </w:tc>
      </w:tr>
      <w:tr w:rsidR="00DD0B33" w:rsidRPr="006A7361" w14:paraId="623033FF" w14:textId="77777777" w:rsidTr="00DD0B33">
        <w:tc>
          <w:tcPr>
            <w:tcW w:w="2983" w:type="dxa"/>
          </w:tcPr>
          <w:p w14:paraId="05417236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Departmental/Institutional Scholarships</w:t>
            </w:r>
          </w:p>
        </w:tc>
        <w:tc>
          <w:tcPr>
            <w:tcW w:w="1782" w:type="dxa"/>
          </w:tcPr>
          <w:p w14:paraId="3AC722F6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SARAS</w:t>
            </w:r>
          </w:p>
        </w:tc>
        <w:tc>
          <w:tcPr>
            <w:tcW w:w="2715" w:type="dxa"/>
          </w:tcPr>
          <w:p w14:paraId="04950AB1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SARAS</w:t>
            </w:r>
          </w:p>
        </w:tc>
        <w:tc>
          <w:tcPr>
            <w:tcW w:w="1870" w:type="dxa"/>
          </w:tcPr>
          <w:p w14:paraId="64C7DB2D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SFS</w:t>
            </w:r>
            <w:r>
              <w:rPr>
                <w:sz w:val="22"/>
                <w:szCs w:val="22"/>
              </w:rPr>
              <w:t xml:space="preserve"> to Students Account</w:t>
            </w:r>
          </w:p>
        </w:tc>
      </w:tr>
      <w:tr w:rsidR="00DD0B33" w:rsidRPr="006A7361" w14:paraId="4FA62D71" w14:textId="77777777" w:rsidTr="00DD0B33">
        <w:tc>
          <w:tcPr>
            <w:tcW w:w="2983" w:type="dxa"/>
          </w:tcPr>
          <w:p w14:paraId="6E47B7F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 Study Earnings</w:t>
            </w:r>
          </w:p>
        </w:tc>
        <w:tc>
          <w:tcPr>
            <w:tcW w:w="1782" w:type="dxa"/>
          </w:tcPr>
          <w:p w14:paraId="506A7CDD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</w:t>
            </w:r>
          </w:p>
        </w:tc>
        <w:tc>
          <w:tcPr>
            <w:tcW w:w="2715" w:type="dxa"/>
          </w:tcPr>
          <w:p w14:paraId="20451237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SFS adds award placeholder</w:t>
            </w:r>
          </w:p>
        </w:tc>
        <w:tc>
          <w:tcPr>
            <w:tcW w:w="1870" w:type="dxa"/>
          </w:tcPr>
          <w:p w14:paraId="14D878FD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Payroll</w:t>
            </w:r>
          </w:p>
        </w:tc>
      </w:tr>
      <w:tr w:rsidR="00DD0B33" w:rsidRPr="006A7361" w14:paraId="1B626194" w14:textId="77777777" w:rsidTr="00DD0B33">
        <w:tc>
          <w:tcPr>
            <w:tcW w:w="2983" w:type="dxa"/>
          </w:tcPr>
          <w:p w14:paraId="352A3659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lastRenderedPageBreak/>
              <w:t>Gift Cards/Cash Prize</w:t>
            </w:r>
          </w:p>
        </w:tc>
        <w:tc>
          <w:tcPr>
            <w:tcW w:w="1782" w:type="dxa"/>
          </w:tcPr>
          <w:p w14:paraId="2F73B63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Department</w:t>
            </w:r>
          </w:p>
        </w:tc>
        <w:tc>
          <w:tcPr>
            <w:tcW w:w="2715" w:type="dxa"/>
          </w:tcPr>
          <w:p w14:paraId="0521690B" w14:textId="77777777" w:rsidR="00DD0B33" w:rsidRPr="006A7361" w:rsidRDefault="00DD0B33" w:rsidP="00860A74">
            <w:pPr>
              <w:rPr>
                <w:sz w:val="22"/>
                <w:szCs w:val="22"/>
                <w:highlight w:val="yellow"/>
              </w:rPr>
            </w:pPr>
            <w:r w:rsidRPr="006A7361">
              <w:rPr>
                <w:sz w:val="22"/>
                <w:szCs w:val="22"/>
                <w:highlight w:val="yellow"/>
              </w:rPr>
              <w:t xml:space="preserve">Department reports through </w:t>
            </w:r>
            <w:hyperlink r:id="rId14" w:history="1">
              <w:r w:rsidRPr="00BF1AD0">
                <w:rPr>
                  <w:rStyle w:val="Hyperlink"/>
                  <w:sz w:val="22"/>
                  <w:szCs w:val="22"/>
                  <w:highlight w:val="yellow"/>
                </w:rPr>
                <w:t>Smartsheet Form</w:t>
              </w:r>
            </w:hyperlink>
          </w:p>
        </w:tc>
        <w:tc>
          <w:tcPr>
            <w:tcW w:w="1870" w:type="dxa"/>
          </w:tcPr>
          <w:p w14:paraId="6DC78C6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Directly to student</w:t>
            </w:r>
          </w:p>
        </w:tc>
      </w:tr>
      <w:tr w:rsidR="00DD0B33" w:rsidRPr="006A7361" w14:paraId="09014ECB" w14:textId="77777777" w:rsidTr="00DD0B33">
        <w:tc>
          <w:tcPr>
            <w:tcW w:w="2983" w:type="dxa"/>
          </w:tcPr>
          <w:p w14:paraId="28461E8B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Gift Award</w:t>
            </w:r>
          </w:p>
        </w:tc>
        <w:tc>
          <w:tcPr>
            <w:tcW w:w="1782" w:type="dxa"/>
          </w:tcPr>
          <w:p w14:paraId="250E81A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Department</w:t>
            </w:r>
          </w:p>
        </w:tc>
        <w:tc>
          <w:tcPr>
            <w:tcW w:w="2715" w:type="dxa"/>
          </w:tcPr>
          <w:p w14:paraId="3891B91E" w14:textId="77777777" w:rsidR="00DD0B33" w:rsidRPr="006A7361" w:rsidRDefault="00DD0B33" w:rsidP="00860A74">
            <w:pPr>
              <w:rPr>
                <w:sz w:val="22"/>
                <w:szCs w:val="22"/>
                <w:highlight w:val="yellow"/>
              </w:rPr>
            </w:pPr>
            <w:r w:rsidRPr="006A7361">
              <w:rPr>
                <w:sz w:val="22"/>
                <w:szCs w:val="22"/>
                <w:highlight w:val="yellow"/>
              </w:rPr>
              <w:t xml:space="preserve">Department reports through </w:t>
            </w:r>
            <w:hyperlink r:id="rId15" w:history="1">
              <w:r w:rsidRPr="00BF1AD0">
                <w:rPr>
                  <w:rStyle w:val="Hyperlink"/>
                  <w:sz w:val="22"/>
                  <w:szCs w:val="22"/>
                  <w:highlight w:val="yellow"/>
                </w:rPr>
                <w:t>Smartsheet Form</w:t>
              </w:r>
            </w:hyperlink>
          </w:p>
        </w:tc>
        <w:tc>
          <w:tcPr>
            <w:tcW w:w="1870" w:type="dxa"/>
          </w:tcPr>
          <w:p w14:paraId="4977839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Directly to student</w:t>
            </w:r>
          </w:p>
        </w:tc>
      </w:tr>
      <w:tr w:rsidR="00DD0B33" w:rsidRPr="006A7361" w14:paraId="52E91ADA" w14:textId="77777777" w:rsidTr="00DD0B33">
        <w:tc>
          <w:tcPr>
            <w:tcW w:w="2983" w:type="dxa"/>
          </w:tcPr>
          <w:p w14:paraId="1238880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reimbursement to a student that is not processed through Bursar’s Office, SARAS, or Workday</w:t>
            </w:r>
          </w:p>
        </w:tc>
        <w:tc>
          <w:tcPr>
            <w:tcW w:w="1782" w:type="dxa"/>
          </w:tcPr>
          <w:p w14:paraId="1DC75CEC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2715" w:type="dxa"/>
          </w:tcPr>
          <w:p w14:paraId="04447E3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  <w:highlight w:val="yellow"/>
              </w:rPr>
              <w:t xml:space="preserve">Department reports through </w:t>
            </w:r>
            <w:hyperlink r:id="rId16" w:history="1">
              <w:r w:rsidRPr="00BF1AD0">
                <w:rPr>
                  <w:rStyle w:val="Hyperlink"/>
                  <w:sz w:val="22"/>
                  <w:szCs w:val="22"/>
                  <w:highlight w:val="yellow"/>
                </w:rPr>
                <w:t>Smartsheet Form</w:t>
              </w:r>
            </w:hyperlink>
          </w:p>
        </w:tc>
        <w:tc>
          <w:tcPr>
            <w:tcW w:w="1870" w:type="dxa"/>
          </w:tcPr>
          <w:p w14:paraId="52A9B09B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Directly to student</w:t>
            </w:r>
          </w:p>
        </w:tc>
      </w:tr>
      <w:tr w:rsidR="00DD0B33" w:rsidRPr="006A7361" w14:paraId="66FDE4D5" w14:textId="77777777" w:rsidTr="00DD0B33">
        <w:tc>
          <w:tcPr>
            <w:tcW w:w="2983" w:type="dxa"/>
          </w:tcPr>
          <w:p w14:paraId="53B7F04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Fitness Center Reimbursement</w:t>
            </w:r>
          </w:p>
        </w:tc>
        <w:tc>
          <w:tcPr>
            <w:tcW w:w="1782" w:type="dxa"/>
          </w:tcPr>
          <w:p w14:paraId="528A3194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</w:t>
            </w:r>
          </w:p>
        </w:tc>
        <w:tc>
          <w:tcPr>
            <w:tcW w:w="2715" w:type="dxa"/>
          </w:tcPr>
          <w:p w14:paraId="1A9CEDC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Workday Report</w:t>
            </w:r>
          </w:p>
        </w:tc>
        <w:tc>
          <w:tcPr>
            <w:tcW w:w="1870" w:type="dxa"/>
          </w:tcPr>
          <w:p w14:paraId="115AE48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Payroll</w:t>
            </w:r>
          </w:p>
        </w:tc>
      </w:tr>
      <w:tr w:rsidR="00DD0B33" w:rsidRPr="006A7361" w14:paraId="137C6949" w14:textId="77777777" w:rsidTr="00DD0B33">
        <w:tc>
          <w:tcPr>
            <w:tcW w:w="2983" w:type="dxa"/>
          </w:tcPr>
          <w:p w14:paraId="3540BEC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SRC Membership Reimbursement</w:t>
            </w:r>
          </w:p>
        </w:tc>
        <w:tc>
          <w:tcPr>
            <w:tcW w:w="1782" w:type="dxa"/>
          </w:tcPr>
          <w:p w14:paraId="0FE2EA3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Bursa’s</w:t>
            </w:r>
          </w:p>
        </w:tc>
        <w:tc>
          <w:tcPr>
            <w:tcW w:w="2715" w:type="dxa"/>
          </w:tcPr>
          <w:p w14:paraId="0F406D11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35A4EF4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2E346F13" w14:textId="77777777" w:rsidTr="00DD0B33">
        <w:tc>
          <w:tcPr>
            <w:tcW w:w="2983" w:type="dxa"/>
          </w:tcPr>
          <w:p w14:paraId="26DFDDF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 xml:space="preserve">Online </w:t>
            </w:r>
            <w:proofErr w:type="spellStart"/>
            <w:r w:rsidRPr="006A7361">
              <w:rPr>
                <w:sz w:val="22"/>
                <w:szCs w:val="22"/>
              </w:rPr>
              <w:t>Stdnt</w:t>
            </w:r>
            <w:proofErr w:type="spellEnd"/>
            <w:r w:rsidRPr="006A7361">
              <w:rPr>
                <w:sz w:val="22"/>
                <w:szCs w:val="22"/>
              </w:rPr>
              <w:t xml:space="preserve"> Fitness Reimbursement</w:t>
            </w:r>
          </w:p>
        </w:tc>
        <w:tc>
          <w:tcPr>
            <w:tcW w:w="1782" w:type="dxa"/>
          </w:tcPr>
          <w:p w14:paraId="75538C1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2132717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2738196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656C4674" w14:textId="77777777" w:rsidTr="00DD0B33">
        <w:tc>
          <w:tcPr>
            <w:tcW w:w="2983" w:type="dxa"/>
          </w:tcPr>
          <w:p w14:paraId="2C95E4C6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Proctoring Fee Reimbursement</w:t>
            </w:r>
          </w:p>
        </w:tc>
        <w:tc>
          <w:tcPr>
            <w:tcW w:w="1782" w:type="dxa"/>
          </w:tcPr>
          <w:p w14:paraId="0D76549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0F98552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6207EF1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40AA8145" w14:textId="77777777" w:rsidTr="00DD0B33">
        <w:tc>
          <w:tcPr>
            <w:tcW w:w="2983" w:type="dxa"/>
          </w:tcPr>
          <w:p w14:paraId="05D7CF13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Mental Health Reimbursement</w:t>
            </w:r>
          </w:p>
        </w:tc>
        <w:tc>
          <w:tcPr>
            <w:tcW w:w="1782" w:type="dxa"/>
          </w:tcPr>
          <w:p w14:paraId="432FB3D7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181311D4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2E9FB9E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1862BB91" w14:textId="77777777" w:rsidTr="00DD0B33">
        <w:tc>
          <w:tcPr>
            <w:tcW w:w="2983" w:type="dxa"/>
          </w:tcPr>
          <w:p w14:paraId="682E051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WSU Error Reimbursement</w:t>
            </w:r>
          </w:p>
        </w:tc>
        <w:tc>
          <w:tcPr>
            <w:tcW w:w="1782" w:type="dxa"/>
          </w:tcPr>
          <w:p w14:paraId="48851E37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35E4F0E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2AFBC935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0C849EDD" w14:textId="77777777" w:rsidTr="00DD0B33">
        <w:tc>
          <w:tcPr>
            <w:tcW w:w="2983" w:type="dxa"/>
          </w:tcPr>
          <w:p w14:paraId="1EC25DD4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ASWSUG Global Grocery Reimbursement</w:t>
            </w:r>
          </w:p>
        </w:tc>
        <w:tc>
          <w:tcPr>
            <w:tcW w:w="1782" w:type="dxa"/>
          </w:tcPr>
          <w:p w14:paraId="219651AE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1EC83483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01935731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6D1B0B2D" w14:textId="77777777" w:rsidTr="00DD0B33">
        <w:tc>
          <w:tcPr>
            <w:tcW w:w="2983" w:type="dxa"/>
          </w:tcPr>
          <w:p w14:paraId="56CF3045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Mental Health Reimbursement</w:t>
            </w:r>
          </w:p>
        </w:tc>
        <w:tc>
          <w:tcPr>
            <w:tcW w:w="1782" w:type="dxa"/>
          </w:tcPr>
          <w:p w14:paraId="657B9DF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52672B06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5AEA646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74A5BB0E" w14:textId="77777777" w:rsidTr="00DD0B33">
        <w:tc>
          <w:tcPr>
            <w:tcW w:w="2983" w:type="dxa"/>
          </w:tcPr>
          <w:p w14:paraId="4188A0ED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 xml:space="preserve">Online </w:t>
            </w:r>
            <w:proofErr w:type="spellStart"/>
            <w:r w:rsidRPr="006A7361">
              <w:rPr>
                <w:sz w:val="22"/>
                <w:szCs w:val="22"/>
              </w:rPr>
              <w:t>Stdnt</w:t>
            </w:r>
            <w:proofErr w:type="spellEnd"/>
            <w:r w:rsidRPr="006A7361">
              <w:rPr>
                <w:sz w:val="22"/>
                <w:szCs w:val="22"/>
              </w:rPr>
              <w:t xml:space="preserve"> Cap/Gown Reimbursement</w:t>
            </w:r>
          </w:p>
        </w:tc>
        <w:tc>
          <w:tcPr>
            <w:tcW w:w="1782" w:type="dxa"/>
          </w:tcPr>
          <w:p w14:paraId="31928D6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5E465737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4B8CD3CA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0C3BB42C" w14:textId="77777777" w:rsidTr="00DD0B33">
        <w:tc>
          <w:tcPr>
            <w:tcW w:w="2983" w:type="dxa"/>
          </w:tcPr>
          <w:p w14:paraId="1505FDA7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Spokane Childcare Reimbursement</w:t>
            </w:r>
          </w:p>
        </w:tc>
        <w:tc>
          <w:tcPr>
            <w:tcW w:w="1782" w:type="dxa"/>
          </w:tcPr>
          <w:p w14:paraId="21E0A2F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  <w:p w14:paraId="41D9D45F" w14:textId="77777777" w:rsidR="00DD0B33" w:rsidRPr="006A7361" w:rsidRDefault="00DD0B33" w:rsidP="00860A74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5CB52224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2BEBB2EB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6D4B5CCA" w14:textId="77777777" w:rsidTr="00DD0B33">
        <w:tc>
          <w:tcPr>
            <w:tcW w:w="2983" w:type="dxa"/>
          </w:tcPr>
          <w:p w14:paraId="697BA47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Chinook Membership Reimbursement</w:t>
            </w:r>
          </w:p>
        </w:tc>
        <w:tc>
          <w:tcPr>
            <w:tcW w:w="1782" w:type="dxa"/>
          </w:tcPr>
          <w:p w14:paraId="4760868D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5D16A098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481BCB19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62A2415F" w14:textId="77777777" w:rsidTr="00DD0B33">
        <w:tc>
          <w:tcPr>
            <w:tcW w:w="2983" w:type="dxa"/>
          </w:tcPr>
          <w:p w14:paraId="7F33A1F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TC Health Club Reimbursement</w:t>
            </w:r>
          </w:p>
        </w:tc>
        <w:tc>
          <w:tcPr>
            <w:tcW w:w="1782" w:type="dxa"/>
          </w:tcPr>
          <w:p w14:paraId="7ADAB423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333D9056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5BD70330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  <w:tr w:rsidR="00DD0B33" w:rsidRPr="006A7361" w14:paraId="6FAA4AE8" w14:textId="77777777" w:rsidTr="00DD0B33">
        <w:tc>
          <w:tcPr>
            <w:tcW w:w="2983" w:type="dxa"/>
          </w:tcPr>
          <w:p w14:paraId="05B2B9CC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 xml:space="preserve">ASWSUG Internet Reimbursement </w:t>
            </w:r>
          </w:p>
        </w:tc>
        <w:tc>
          <w:tcPr>
            <w:tcW w:w="1782" w:type="dxa"/>
          </w:tcPr>
          <w:p w14:paraId="348E8A3F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  <w:tc>
          <w:tcPr>
            <w:tcW w:w="2715" w:type="dxa"/>
          </w:tcPr>
          <w:p w14:paraId="5B5A6322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Service Indicator Hold Report</w:t>
            </w:r>
          </w:p>
        </w:tc>
        <w:tc>
          <w:tcPr>
            <w:tcW w:w="1870" w:type="dxa"/>
          </w:tcPr>
          <w:p w14:paraId="3599FDCC" w14:textId="77777777" w:rsidR="00DD0B33" w:rsidRPr="006A7361" w:rsidRDefault="00DD0B33" w:rsidP="00860A74">
            <w:pPr>
              <w:rPr>
                <w:sz w:val="22"/>
                <w:szCs w:val="22"/>
              </w:rPr>
            </w:pPr>
            <w:r w:rsidRPr="006A7361">
              <w:rPr>
                <w:sz w:val="22"/>
                <w:szCs w:val="22"/>
              </w:rPr>
              <w:t>Bursar’s</w:t>
            </w:r>
          </w:p>
        </w:tc>
      </w:tr>
    </w:tbl>
    <w:p w14:paraId="73089147" w14:textId="77777777" w:rsidR="00DD0B33" w:rsidRPr="00DD0B33" w:rsidRDefault="00DD0B33" w:rsidP="00DD0B33">
      <w:pPr>
        <w:pStyle w:val="ListParagraph"/>
        <w:numPr>
          <w:ilvl w:val="0"/>
          <w:numId w:val="1"/>
        </w:numPr>
        <w:rPr>
          <w:sz w:val="22"/>
          <w:szCs w:val="22"/>
        </w:rPr>
      </w:pPr>
    </w:p>
    <w:p w14:paraId="6CB48ABF" w14:textId="77777777" w:rsidR="00DD0B33" w:rsidRDefault="00DD0B33" w:rsidP="00DD0B33"/>
    <w:sectPr w:rsidR="00DD0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733B"/>
    <w:multiLevelType w:val="hybridMultilevel"/>
    <w:tmpl w:val="C96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C0"/>
    <w:rsid w:val="0001678B"/>
    <w:rsid w:val="000E5EEB"/>
    <w:rsid w:val="00191AC9"/>
    <w:rsid w:val="00215271"/>
    <w:rsid w:val="00222BB2"/>
    <w:rsid w:val="00353492"/>
    <w:rsid w:val="00420207"/>
    <w:rsid w:val="00437511"/>
    <w:rsid w:val="00437BB5"/>
    <w:rsid w:val="004D5A7C"/>
    <w:rsid w:val="0076423F"/>
    <w:rsid w:val="008217AC"/>
    <w:rsid w:val="009D1EEE"/>
    <w:rsid w:val="00A2747E"/>
    <w:rsid w:val="00B267C0"/>
    <w:rsid w:val="00B66165"/>
    <w:rsid w:val="00C93A42"/>
    <w:rsid w:val="00CF71BD"/>
    <w:rsid w:val="00D82F26"/>
    <w:rsid w:val="00DD0B33"/>
    <w:rsid w:val="00E75606"/>
    <w:rsid w:val="00F56109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84D6"/>
  <w15:chartTrackingRefBased/>
  <w15:docId w15:val="{32A530BC-168B-4B56-B1D4-EBA9E473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7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7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7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faa.org/Part_685_Federal_Direct_Loan_Program" TargetMode="External"/><Relationship Id="rId13" Type="http://schemas.openxmlformats.org/officeDocument/2006/relationships/hyperlink" Target="https://app.smartsheet.com/b/form/34dcf0251c9249448bbd535fa56208b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34dcf0251c9249448bbd535fa56208b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pp.smartsheet.com/b/form/34dcf0251c9249448bbd535fa56208b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34dcf0251c9249448bbd535fa56208b8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p.smartsheet.com/b/form/34dcf0251c9249448bbd535fa56208b8" TargetMode="External"/><Relationship Id="rId10" Type="http://schemas.openxmlformats.org/officeDocument/2006/relationships/hyperlink" Target="https://app.smartsheet.com/b/form/34dcf0251c9249448bbd535fa56208b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sfaa.org/part_673_campus-based_common_provisions" TargetMode="External"/><Relationship Id="rId14" Type="http://schemas.openxmlformats.org/officeDocument/2006/relationships/hyperlink" Target="https://app.smartsheet.com/b/form/34dcf0251c9249448bbd535fa56208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0e66b9-d171-404e-a889-4dbfaf8d17df">
      <Terms xmlns="http://schemas.microsoft.com/office/infopath/2007/PartnerControls"/>
    </lcf76f155ced4ddcb4097134ff3c332f>
    <TaxCatchAll xmlns="2ede3c53-7a4b-47bc-9966-a8e0855f82cb" xsi:nil="true"/>
    <_Flow_SignoffStatus xmlns="c70e66b9-d171-404e-a889-4dbfaf8d17df" xsi:nil="true"/>
    <Notes xmlns="c70e66b9-d171-404e-a889-4dbfaf8d17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EC92978114D4EBAD83EBA524275C2" ma:contentTypeVersion="20" ma:contentTypeDescription="Create a new document." ma:contentTypeScope="" ma:versionID="6aafc9ef68114b103a8b3070834d0e11">
  <xsd:schema xmlns:xsd="http://www.w3.org/2001/XMLSchema" xmlns:xs="http://www.w3.org/2001/XMLSchema" xmlns:p="http://schemas.microsoft.com/office/2006/metadata/properties" xmlns:ns2="c70e66b9-d171-404e-a889-4dbfaf8d17df" xmlns:ns3="4dc845fc-a0a7-4afe-bfdb-0a25efe6accb" xmlns:ns4="2ede3c53-7a4b-47bc-9966-a8e0855f82cb" targetNamespace="http://schemas.microsoft.com/office/2006/metadata/properties" ma:root="true" ma:fieldsID="cd08ce840b2da1b852eb2a9db7ba32d2" ns2:_="" ns3:_="" ns4:_="">
    <xsd:import namespace="c70e66b9-d171-404e-a889-4dbfaf8d17df"/>
    <xsd:import namespace="4dc845fc-a0a7-4afe-bfdb-0a25efe6accb"/>
    <xsd:import namespace="2ede3c53-7a4b-47bc-9966-a8e0855f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66b9-d171-404e-a889-4dbfaf8d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45fc-a0a7-4afe-bfdb-0a25efe6a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3c53-7a4b-47bc-9966-a8e0855f82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3ba6aa-44e1-49ab-9eb3-78d713f0b706}" ma:internalName="TaxCatchAll" ma:showField="CatchAllData" ma:web="2ede3c53-7a4b-47bc-9966-a8e0855f8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CF44A-A442-4F51-B293-5A659C136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EBE0C-5426-4284-B27A-B6B19EE9CC92}">
  <ds:schemaRefs>
    <ds:schemaRef ds:uri="4dc845fc-a0a7-4afe-bfdb-0a25efe6acc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2ede3c53-7a4b-47bc-9966-a8e0855f82cb"/>
    <ds:schemaRef ds:uri="c70e66b9-d171-404e-a889-4dbfaf8d17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794389-7191-40C2-BE6B-8CB00C6A0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e66b9-d171-404e-a889-4dbfaf8d17df"/>
    <ds:schemaRef ds:uri="4dc845fc-a0a7-4afe-bfdb-0a25efe6accb"/>
    <ds:schemaRef ds:uri="2ede3c53-7a4b-47bc-9966-a8e0855f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Unversity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Scourey, Joy</dc:creator>
  <cp:keywords/>
  <dc:description/>
  <cp:lastModifiedBy>Sena, Zackarie Steven</cp:lastModifiedBy>
  <cp:revision>2</cp:revision>
  <dcterms:created xsi:type="dcterms:W3CDTF">2024-08-29T16:18:00Z</dcterms:created>
  <dcterms:modified xsi:type="dcterms:W3CDTF">2024-08-29T16:18:00Z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0x010100E33EC92978114D4EBAD83EBA524275C2</vt:lpwstr>
  </property>
  <property fmtid="{D5CDD505-2E9C-101B-9397-08002B2CF9AE}" pid="3" name="MediaServiceImageTags">
    <vt:lpwstr/>
  </property>
</Properties>
</file>